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33647">
      <w:pPr>
        <w:pStyle w:val="6"/>
        <w:keepNext w:val="0"/>
        <w:keepLines w:val="0"/>
        <w:pageBreakBefore w:val="0"/>
        <w:widowControl/>
        <w:tabs>
          <w:tab w:val="left" w:pos="3107"/>
          <w:tab w:val="center" w:pos="4537"/>
        </w:tabs>
        <w:kinsoku/>
        <w:wordWrap/>
        <w:overflowPunct/>
        <w:topLinePunct w:val="0"/>
        <w:autoSpaceDE/>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bCs/>
          <w:i w:val="0"/>
          <w:iCs w:val="0"/>
          <w:caps w:val="0"/>
          <w:color w:val="auto"/>
          <w:spacing w:val="0"/>
          <w:kern w:val="2"/>
          <w:sz w:val="32"/>
          <w:szCs w:val="32"/>
          <w:shd w:val="clear"/>
          <w:lang w:val="en-US" w:eastAsia="zh-CN"/>
        </w:rPr>
      </w:pPr>
      <w:r>
        <w:rPr>
          <w:rFonts w:hint="eastAsia" w:ascii="方正仿宋_GBK" w:hAnsi="方正仿宋_GBK" w:eastAsia="方正仿宋_GBK" w:cs="方正仿宋_GBK"/>
          <w:b/>
          <w:bCs/>
          <w:i w:val="0"/>
          <w:iCs w:val="0"/>
          <w:caps w:val="0"/>
          <w:color w:val="auto"/>
          <w:spacing w:val="0"/>
          <w:kern w:val="2"/>
          <w:sz w:val="32"/>
          <w:szCs w:val="32"/>
          <w:shd w:val="clear"/>
          <w:lang w:val="en-US" w:eastAsia="zh"/>
        </w:rPr>
        <w:t>附件</w:t>
      </w:r>
      <w:r>
        <w:rPr>
          <w:rFonts w:hint="eastAsia" w:ascii="方正仿宋_GBK" w:hAnsi="方正仿宋_GBK" w:eastAsia="方正仿宋_GBK" w:cs="方正仿宋_GBK"/>
          <w:b/>
          <w:bCs/>
          <w:i w:val="0"/>
          <w:iCs w:val="0"/>
          <w:caps w:val="0"/>
          <w:color w:val="auto"/>
          <w:spacing w:val="0"/>
          <w:kern w:val="2"/>
          <w:sz w:val="32"/>
          <w:szCs w:val="32"/>
          <w:shd w:val="clear"/>
          <w:lang w:val="en-US" w:eastAsia="zh-CN"/>
        </w:rPr>
        <w:t>2</w:t>
      </w:r>
      <w:bookmarkStart w:id="0" w:name="_GoBack"/>
      <w:bookmarkEnd w:id="0"/>
    </w:p>
    <w:p w14:paraId="4FD1F818">
      <w:pPr>
        <w:pStyle w:val="6"/>
        <w:keepNext w:val="0"/>
        <w:keepLines w:val="0"/>
        <w:pageBreakBefore w:val="0"/>
        <w:widowControl/>
        <w:kinsoku/>
        <w:wordWrap/>
        <w:overflowPunct/>
        <w:topLinePunct w:val="0"/>
        <w:bidi w:val="0"/>
        <w:spacing w:before="0" w:beforeAutospacing="0" w:after="0" w:afterAutospacing="0" w:line="596" w:lineRule="exact"/>
        <w:ind w:firstLine="0" w:firstLineChars="0"/>
        <w:jc w:val="center"/>
        <w:outlineLvl w:val="0"/>
        <w:rPr>
          <w:rFonts w:hint="eastAsia" w:ascii="方正小标宋_GBK" w:hAnsi="方正小标宋_GBK" w:eastAsia="方正小标宋_GBK" w:cs="方正小标宋_GBK"/>
          <w:bCs/>
          <w:color w:val="auto"/>
          <w:kern w:val="2"/>
          <w:sz w:val="44"/>
          <w:szCs w:val="44"/>
        </w:rPr>
      </w:pPr>
      <w:r>
        <w:rPr>
          <w:rFonts w:hint="eastAsia" w:ascii="方正小标宋_GBK" w:hAnsi="方正小标宋_GBK" w:eastAsia="方正小标宋_GBK" w:cs="方正小标宋_GBK"/>
          <w:bCs/>
          <w:color w:val="auto"/>
          <w:kern w:val="2"/>
          <w:sz w:val="44"/>
          <w:szCs w:val="44"/>
          <w:lang w:val="en-US" w:eastAsia="zh-CN"/>
        </w:rPr>
        <w:t>重庆市</w:t>
      </w:r>
      <w:r>
        <w:rPr>
          <w:rFonts w:hint="eastAsia" w:ascii="方正小标宋_GBK" w:hAnsi="方正小标宋_GBK" w:eastAsia="方正小标宋_GBK" w:cs="方正小标宋_GBK"/>
          <w:bCs/>
          <w:color w:val="auto"/>
          <w:kern w:val="2"/>
          <w:sz w:val="44"/>
          <w:szCs w:val="44"/>
        </w:rPr>
        <w:t>电子病历系统应用水平</w:t>
      </w:r>
      <w:r>
        <w:rPr>
          <w:rFonts w:hint="eastAsia" w:ascii="方正小标宋_GBK" w:hAnsi="方正小标宋_GBK" w:eastAsia="方正小标宋_GBK" w:cs="方正小标宋_GBK"/>
          <w:bCs/>
          <w:color w:val="auto"/>
          <w:kern w:val="2"/>
          <w:sz w:val="44"/>
          <w:szCs w:val="44"/>
          <w:lang w:val="en-US" w:eastAsia="zh-CN"/>
        </w:rPr>
        <w:t>分级</w:t>
      </w:r>
      <w:r>
        <w:rPr>
          <w:rFonts w:hint="eastAsia" w:ascii="方正小标宋_GBK" w:hAnsi="方正小标宋_GBK" w:eastAsia="方正小标宋_GBK" w:cs="方正小标宋_GBK"/>
          <w:bCs/>
          <w:color w:val="auto"/>
          <w:kern w:val="2"/>
          <w:sz w:val="44"/>
          <w:szCs w:val="44"/>
        </w:rPr>
        <w:t>评价</w:t>
      </w:r>
    </w:p>
    <w:p w14:paraId="72501B37">
      <w:pPr>
        <w:pStyle w:val="6"/>
        <w:keepNext w:val="0"/>
        <w:keepLines w:val="0"/>
        <w:pageBreakBefore w:val="0"/>
        <w:widowControl/>
        <w:kinsoku/>
        <w:wordWrap/>
        <w:overflowPunct/>
        <w:topLinePunct w:val="0"/>
        <w:bidi w:val="0"/>
        <w:spacing w:before="0" w:beforeAutospacing="0" w:after="0" w:afterAutospacing="0" w:line="596" w:lineRule="exact"/>
        <w:ind w:firstLine="0" w:firstLineChars="0"/>
        <w:jc w:val="center"/>
        <w:outlineLvl w:val="0"/>
        <w:rPr>
          <w:rFonts w:hint="eastAsia" w:ascii="方正仿宋_GBK" w:hAnsi="方正仿宋_GBK" w:eastAsia="方正仿宋_GBK" w:cs="方正仿宋_GBK"/>
          <w:color w:val="auto"/>
          <w:kern w:val="2"/>
          <w:sz w:val="32"/>
          <w:szCs w:val="32"/>
        </w:rPr>
      </w:pPr>
      <w:r>
        <w:rPr>
          <w:rFonts w:hint="eastAsia" w:ascii="方正小标宋_GBK" w:hAnsi="方正小标宋_GBK" w:eastAsia="方正小标宋_GBK" w:cs="方正小标宋_GBK"/>
          <w:bCs/>
          <w:color w:val="auto"/>
          <w:kern w:val="2"/>
          <w:sz w:val="44"/>
          <w:szCs w:val="44"/>
        </w:rPr>
        <w:t>专家管理</w:t>
      </w:r>
      <w:r>
        <w:rPr>
          <w:rFonts w:hint="eastAsia" w:ascii="方正小标宋_GBK" w:hAnsi="方正小标宋_GBK" w:eastAsia="方正小标宋_GBK" w:cs="方正小标宋_GBK"/>
          <w:bCs/>
          <w:color w:val="auto"/>
          <w:kern w:val="2"/>
          <w:sz w:val="44"/>
          <w:szCs w:val="44"/>
          <w:lang w:eastAsia="zh-CN"/>
        </w:rPr>
        <w:t>办法（</w:t>
      </w:r>
      <w:r>
        <w:rPr>
          <w:rFonts w:hint="eastAsia" w:ascii="方正小标宋_GBK" w:hAnsi="方正小标宋_GBK" w:eastAsia="方正小标宋_GBK" w:cs="方正小标宋_GBK"/>
          <w:bCs/>
          <w:color w:val="auto"/>
          <w:kern w:val="2"/>
          <w:sz w:val="44"/>
          <w:szCs w:val="44"/>
          <w:lang w:val="en-US" w:eastAsia="zh-CN"/>
        </w:rPr>
        <w:t>2025年版</w:t>
      </w:r>
      <w:r>
        <w:rPr>
          <w:rFonts w:hint="eastAsia" w:ascii="方正小标宋_GBK" w:hAnsi="方正小标宋_GBK" w:eastAsia="方正小标宋_GBK" w:cs="方正小标宋_GBK"/>
          <w:bCs/>
          <w:color w:val="auto"/>
          <w:kern w:val="2"/>
          <w:sz w:val="44"/>
          <w:szCs w:val="44"/>
          <w:lang w:eastAsia="zh-CN"/>
        </w:rPr>
        <w:t>）</w:t>
      </w:r>
    </w:p>
    <w:p w14:paraId="3592D54A">
      <w:pPr>
        <w:pStyle w:val="6"/>
        <w:keepNext w:val="0"/>
        <w:keepLines w:val="0"/>
        <w:pageBreakBefore w:val="0"/>
        <w:widowControl/>
        <w:kinsoku/>
        <w:wordWrap/>
        <w:overflowPunct/>
        <w:topLinePunct w:val="0"/>
        <w:bidi w:val="0"/>
        <w:spacing w:before="0" w:beforeAutospacing="0" w:after="0" w:afterAutospacing="0" w:line="596" w:lineRule="exact"/>
        <w:ind w:firstLine="0" w:firstLineChars="0"/>
        <w:jc w:val="center"/>
        <w:outlineLvl w:val="0"/>
        <w:rPr>
          <w:rFonts w:hint="eastAsia" w:ascii="方正仿宋_GBK" w:hAnsi="方正仿宋_GBK" w:eastAsia="方正仿宋_GBK" w:cs="方正仿宋_GBK"/>
          <w:color w:val="auto"/>
          <w:kern w:val="2"/>
          <w:sz w:val="32"/>
          <w:szCs w:val="32"/>
        </w:rPr>
      </w:pPr>
    </w:p>
    <w:p w14:paraId="00228D18">
      <w:pPr>
        <w:pStyle w:val="6"/>
        <w:keepNext w:val="0"/>
        <w:keepLines w:val="0"/>
        <w:pageBreakBefore w:val="0"/>
        <w:widowControl/>
        <w:kinsoku/>
        <w:wordWrap/>
        <w:overflowPunct/>
        <w:topLinePunct w:val="0"/>
        <w:bidi w:val="0"/>
        <w:spacing w:before="0" w:beforeAutospacing="0" w:after="0" w:afterAutospacing="0" w:line="596" w:lineRule="exact"/>
        <w:ind w:firstLine="0" w:firstLineChars="0"/>
        <w:jc w:val="center"/>
        <w:outlineLvl w:val="0"/>
        <w:rPr>
          <w:rFonts w:hint="eastAsia" w:ascii="方正黑体_GBK" w:hAnsi="方正黑体_GBK" w:eastAsia="方正黑体_GBK" w:cs="方正黑体_GBK"/>
          <w:color w:val="auto"/>
          <w:kern w:val="2"/>
          <w:sz w:val="32"/>
          <w:szCs w:val="32"/>
        </w:rPr>
      </w:pPr>
      <w:r>
        <w:rPr>
          <w:rFonts w:hint="eastAsia" w:ascii="方正黑体_GBK" w:hAnsi="方正黑体_GBK" w:eastAsia="方正黑体_GBK" w:cs="方正黑体_GBK"/>
          <w:color w:val="auto"/>
          <w:kern w:val="2"/>
          <w:sz w:val="32"/>
          <w:szCs w:val="32"/>
        </w:rPr>
        <w:t>第一章  总则</w:t>
      </w:r>
    </w:p>
    <w:p w14:paraId="726A80EA">
      <w:pPr>
        <w:pStyle w:val="6"/>
        <w:keepNext w:val="0"/>
        <w:keepLines w:val="0"/>
        <w:pageBreakBefore w:val="0"/>
        <w:widowControl/>
        <w:tabs>
          <w:tab w:val="left" w:pos="3107"/>
          <w:tab w:val="center" w:pos="4537"/>
        </w:tabs>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rPr>
        <w:t>第一条</w:t>
      </w:r>
      <w:r>
        <w:rPr>
          <w:rFonts w:hint="eastAsia" w:ascii="方正仿宋_GBK" w:hAnsi="方正仿宋_GBK" w:eastAsia="方正仿宋_GBK" w:cs="方正仿宋_GBK"/>
          <w:color w:val="auto"/>
          <w:kern w:val="2"/>
          <w:sz w:val="32"/>
          <w:szCs w:val="32"/>
        </w:rPr>
        <w:t xml:space="preserve"> </w:t>
      </w:r>
      <w:r>
        <w:rPr>
          <w:rFonts w:hint="eastAsia" w:ascii="方正仿宋_GBK" w:hAnsi="方正仿宋_GBK" w:eastAsia="方正仿宋_GBK" w:cs="方正仿宋_GBK"/>
          <w:i w:val="0"/>
          <w:iCs w:val="0"/>
          <w:caps w:val="0"/>
          <w:color w:val="auto"/>
          <w:spacing w:val="0"/>
          <w:kern w:val="2"/>
          <w:sz w:val="32"/>
          <w:szCs w:val="32"/>
          <w:shd w:val="clear"/>
        </w:rPr>
        <w:t>为规范本市电子病历系统应用水平分级评价专家管理</w:t>
      </w:r>
      <w:r>
        <w:rPr>
          <w:rFonts w:hint="eastAsia" w:ascii="方正仿宋_GBK" w:hAnsi="方正仿宋_GBK" w:eastAsia="方正仿宋_GBK" w:cs="方正仿宋_GBK"/>
          <w:color w:val="auto"/>
          <w:kern w:val="2"/>
          <w:sz w:val="32"/>
          <w:szCs w:val="32"/>
        </w:rPr>
        <w:t>，加强专家</w:t>
      </w:r>
      <w:r>
        <w:rPr>
          <w:rFonts w:hint="eastAsia" w:ascii="方正仿宋_GBK" w:hAnsi="方正仿宋_GBK" w:eastAsia="方正仿宋_GBK" w:cs="方正仿宋_GBK"/>
          <w:color w:val="auto"/>
          <w:kern w:val="2"/>
          <w:sz w:val="32"/>
          <w:szCs w:val="32"/>
          <w:lang w:val="en-US" w:eastAsia="zh-CN"/>
        </w:rPr>
        <w:t>库</w:t>
      </w:r>
      <w:r>
        <w:rPr>
          <w:rFonts w:hint="eastAsia" w:ascii="方正仿宋_GBK" w:hAnsi="方正仿宋_GBK" w:eastAsia="方正仿宋_GBK" w:cs="方正仿宋_GBK"/>
          <w:color w:val="auto"/>
          <w:kern w:val="2"/>
          <w:sz w:val="32"/>
          <w:szCs w:val="32"/>
        </w:rPr>
        <w:t>建设，</w:t>
      </w:r>
      <w:r>
        <w:rPr>
          <w:rFonts w:hint="eastAsia" w:ascii="方正仿宋_GBK" w:hAnsi="方正仿宋_GBK" w:eastAsia="方正仿宋_GBK" w:cs="方正仿宋_GBK"/>
          <w:i w:val="0"/>
          <w:iCs w:val="0"/>
          <w:caps w:val="0"/>
          <w:color w:val="auto"/>
          <w:spacing w:val="0"/>
          <w:kern w:val="2"/>
          <w:sz w:val="32"/>
          <w:szCs w:val="32"/>
          <w:shd w:val="clear"/>
        </w:rPr>
        <w:t>提升评价质量，</w:t>
      </w:r>
      <w:r>
        <w:rPr>
          <w:rFonts w:hint="eastAsia" w:ascii="方正仿宋_GBK" w:hAnsi="方正仿宋_GBK" w:eastAsia="方正仿宋_GBK" w:cs="方正仿宋_GBK"/>
          <w:color w:val="auto"/>
          <w:kern w:val="2"/>
          <w:sz w:val="32"/>
          <w:szCs w:val="32"/>
        </w:rPr>
        <w:t>结合我市实际制定本</w:t>
      </w:r>
      <w:r>
        <w:rPr>
          <w:rFonts w:hint="eastAsia" w:ascii="方正仿宋_GBK" w:hAnsi="方正仿宋_GBK" w:eastAsia="方正仿宋_GBK" w:cs="方正仿宋_GBK"/>
          <w:color w:val="auto"/>
          <w:kern w:val="2"/>
          <w:sz w:val="32"/>
          <w:szCs w:val="32"/>
          <w:lang w:eastAsia="zh-CN"/>
        </w:rPr>
        <w:t>办法</w:t>
      </w:r>
      <w:r>
        <w:rPr>
          <w:rFonts w:hint="eastAsia" w:ascii="方正仿宋_GBK" w:hAnsi="方正仿宋_GBK" w:eastAsia="方正仿宋_GBK" w:cs="方正仿宋_GBK"/>
          <w:color w:val="auto"/>
          <w:kern w:val="2"/>
          <w:sz w:val="32"/>
          <w:szCs w:val="32"/>
        </w:rPr>
        <w:t>。</w:t>
      </w:r>
    </w:p>
    <w:p w14:paraId="7DDD3BDB">
      <w:pPr>
        <w:pStyle w:val="6"/>
        <w:keepNext w:val="0"/>
        <w:keepLines w:val="0"/>
        <w:pageBreakBefore w:val="0"/>
        <w:widowControl/>
        <w:tabs>
          <w:tab w:val="left" w:pos="3107"/>
          <w:tab w:val="center" w:pos="4537"/>
        </w:tabs>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rPr>
      </w:pPr>
      <w:r>
        <w:rPr>
          <w:rFonts w:hint="eastAsia" w:ascii="方正楷体_GBK" w:hAnsi="方正楷体_GBK" w:eastAsia="方正楷体_GBK" w:cs="方正楷体_GBK"/>
          <w:color w:val="auto"/>
          <w:kern w:val="2"/>
          <w:sz w:val="32"/>
          <w:szCs w:val="32"/>
        </w:rPr>
        <w:t>第二条</w:t>
      </w:r>
      <w:r>
        <w:rPr>
          <w:rFonts w:hint="eastAsia" w:ascii="方正仿宋_GBK" w:hAnsi="方正仿宋_GBK" w:eastAsia="方正仿宋_GBK" w:cs="方正仿宋_GBK"/>
          <w:color w:val="auto"/>
          <w:kern w:val="2"/>
          <w:sz w:val="32"/>
          <w:szCs w:val="32"/>
        </w:rPr>
        <w:t xml:space="preserve"> </w:t>
      </w:r>
      <w:r>
        <w:rPr>
          <w:rFonts w:hint="eastAsia" w:ascii="方正仿宋_GBK" w:hAnsi="方正仿宋_GBK" w:eastAsia="方正仿宋_GBK" w:cs="方正仿宋_GBK"/>
          <w:color w:val="auto"/>
          <w:kern w:val="2"/>
          <w:sz w:val="32"/>
          <w:szCs w:val="32"/>
          <w:lang w:val="en-US" w:eastAsia="zh-CN"/>
        </w:rPr>
        <w:t>市</w:t>
      </w:r>
      <w:r>
        <w:rPr>
          <w:rFonts w:hint="eastAsia" w:ascii="方正仿宋_GBK" w:hAnsi="方正仿宋_GBK" w:eastAsia="方正仿宋_GBK" w:cs="方正仿宋_GBK"/>
          <w:color w:val="auto"/>
          <w:kern w:val="2"/>
          <w:sz w:val="32"/>
          <w:szCs w:val="32"/>
        </w:rPr>
        <w:t>卫生健康</w:t>
      </w:r>
      <w:r>
        <w:rPr>
          <w:rFonts w:hint="eastAsia" w:ascii="方正仿宋_GBK" w:hAnsi="方正仿宋_GBK" w:eastAsia="方正仿宋_GBK" w:cs="方正仿宋_GBK"/>
          <w:color w:val="auto"/>
          <w:kern w:val="2"/>
          <w:sz w:val="32"/>
          <w:szCs w:val="32"/>
          <w:lang w:val="en-US" w:eastAsia="zh-CN"/>
        </w:rPr>
        <w:t>委</w:t>
      </w:r>
      <w:r>
        <w:rPr>
          <w:rFonts w:hint="eastAsia" w:ascii="方正仿宋_GBK" w:hAnsi="方正仿宋_GBK" w:eastAsia="方正仿宋_GBK" w:cs="方正仿宋_GBK"/>
          <w:color w:val="auto"/>
          <w:kern w:val="2"/>
          <w:sz w:val="32"/>
          <w:szCs w:val="32"/>
        </w:rPr>
        <w:t>成立</w:t>
      </w:r>
      <w:r>
        <w:rPr>
          <w:rFonts w:hint="eastAsia" w:ascii="方正仿宋_GBK" w:hAnsi="方正仿宋_GBK" w:eastAsia="方正仿宋_GBK" w:cs="方正仿宋_GBK"/>
          <w:color w:val="auto"/>
          <w:kern w:val="2"/>
          <w:sz w:val="32"/>
          <w:szCs w:val="32"/>
          <w:lang w:val="en-US" w:eastAsia="zh-CN"/>
        </w:rPr>
        <w:t>市级分级评价专家库，及时向</w:t>
      </w:r>
      <w:r>
        <w:rPr>
          <w:rFonts w:hint="eastAsia" w:ascii="方正仿宋_GBK" w:hAnsi="方正仿宋_GBK" w:eastAsia="方正仿宋_GBK" w:cs="方正仿宋_GBK"/>
          <w:color w:val="auto"/>
          <w:kern w:val="2"/>
          <w:sz w:val="32"/>
          <w:szCs w:val="32"/>
        </w:rPr>
        <w:t>国家卫生健康委医院管理研究</w:t>
      </w:r>
      <w:r>
        <w:rPr>
          <w:rFonts w:hint="eastAsia" w:ascii="方正仿宋_GBK" w:hAnsi="方正仿宋_GBK" w:eastAsia="方正仿宋_GBK" w:cs="方正仿宋_GBK"/>
          <w:color w:val="auto"/>
          <w:kern w:val="2"/>
          <w:sz w:val="32"/>
          <w:szCs w:val="32"/>
          <w:lang w:val="en-US" w:eastAsia="zh-CN"/>
        </w:rPr>
        <w:t>所</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以下简称国家医院研究</w:t>
      </w:r>
      <w:r>
        <w:rPr>
          <w:rFonts w:hint="eastAsia" w:ascii="方正仿宋_GBK" w:hAnsi="方正仿宋_GBK" w:eastAsia="方正仿宋_GBK" w:cs="方正仿宋_GBK"/>
          <w:color w:val="auto"/>
          <w:kern w:val="2"/>
          <w:sz w:val="32"/>
          <w:szCs w:val="32"/>
        </w:rPr>
        <w:t>所</w:t>
      </w:r>
      <w:r>
        <w:rPr>
          <w:rFonts w:hint="eastAsia" w:ascii="方正仿宋_GBK" w:hAnsi="方正仿宋_GBK" w:eastAsia="方正仿宋_GBK" w:cs="方正仿宋_GBK"/>
          <w:color w:val="auto"/>
          <w:kern w:val="2"/>
          <w:sz w:val="32"/>
          <w:szCs w:val="32"/>
          <w:lang w:val="en-US" w:eastAsia="zh-CN"/>
        </w:rPr>
        <w:t>）</w:t>
      </w:r>
      <w:r>
        <w:rPr>
          <w:rFonts w:hint="eastAsia" w:ascii="方正仿宋_GBK" w:hAnsi="方正仿宋_GBK" w:eastAsia="方正仿宋_GBK" w:cs="方正仿宋_GBK"/>
          <w:color w:val="auto"/>
          <w:kern w:val="2"/>
          <w:sz w:val="32"/>
          <w:szCs w:val="32"/>
        </w:rPr>
        <w:t>备案</w:t>
      </w:r>
      <w:r>
        <w:rPr>
          <w:rFonts w:hint="eastAsia" w:ascii="方正仿宋_GBK" w:hAnsi="方正仿宋_GBK" w:eastAsia="方正仿宋_GBK" w:cs="方正仿宋_GBK"/>
          <w:color w:val="auto"/>
          <w:kern w:val="2"/>
          <w:sz w:val="32"/>
          <w:szCs w:val="32"/>
          <w:lang w:val="en-US" w:eastAsia="zh-CN"/>
        </w:rPr>
        <w:t>。</w:t>
      </w:r>
    </w:p>
    <w:p w14:paraId="5761DBE6">
      <w:pPr>
        <w:pStyle w:val="6"/>
        <w:keepNext w:val="0"/>
        <w:keepLines w:val="0"/>
        <w:pageBreakBefore w:val="0"/>
        <w:widowControl/>
        <w:tabs>
          <w:tab w:val="left" w:pos="3107"/>
          <w:tab w:val="center" w:pos="4537"/>
        </w:tabs>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rPr>
      </w:pPr>
      <w:r>
        <w:rPr>
          <w:rFonts w:hint="eastAsia" w:ascii="方正楷体_GBK" w:hAnsi="方正楷体_GBK" w:eastAsia="方正楷体_GBK" w:cs="方正楷体_GBK"/>
          <w:color w:val="auto"/>
          <w:kern w:val="2"/>
          <w:sz w:val="32"/>
          <w:szCs w:val="32"/>
          <w:lang w:val="en-US" w:eastAsia="zh-CN"/>
        </w:rPr>
        <w:t>第三条</w:t>
      </w:r>
      <w:r>
        <w:rPr>
          <w:rFonts w:hint="eastAsia" w:ascii="方正仿宋_GBK" w:hAnsi="方正仿宋_GBK" w:eastAsia="方正仿宋_GBK" w:cs="方正仿宋_GBK"/>
          <w:color w:val="auto"/>
          <w:kern w:val="2"/>
          <w:sz w:val="32"/>
          <w:szCs w:val="32"/>
          <w:lang w:val="en-US" w:eastAsia="zh-CN"/>
        </w:rPr>
        <w:t xml:space="preserve"> 市卫生健康委负责全市电子病历分级评价专家管理工作，具体工作由市卫生健康统计信息中心（以下简称市卫生健康信息中心）承担。</w:t>
      </w:r>
    </w:p>
    <w:p w14:paraId="650F8EAA">
      <w:pPr>
        <w:pStyle w:val="6"/>
        <w:keepNext w:val="0"/>
        <w:keepLines w:val="0"/>
        <w:pageBreakBefore w:val="0"/>
        <w:widowControl/>
        <w:kinsoku/>
        <w:wordWrap/>
        <w:overflowPunct/>
        <w:topLinePunct w:val="0"/>
        <w:bidi w:val="0"/>
        <w:spacing w:before="0" w:beforeAutospacing="0" w:after="0" w:afterAutospacing="0" w:line="596" w:lineRule="exact"/>
        <w:ind w:firstLine="640" w:firstLineChars="200"/>
        <w:jc w:val="center"/>
        <w:outlineLvl w:val="0"/>
        <w:rPr>
          <w:rFonts w:hint="eastAsia" w:ascii="方正仿宋_GBK" w:hAnsi="方正仿宋_GBK" w:eastAsia="方正仿宋_GBK" w:cs="方正仿宋_GBK"/>
          <w:color w:val="auto"/>
          <w:kern w:val="2"/>
          <w:sz w:val="32"/>
          <w:szCs w:val="32"/>
        </w:rPr>
      </w:pPr>
    </w:p>
    <w:p w14:paraId="2C0D849F">
      <w:pPr>
        <w:pStyle w:val="6"/>
        <w:keepNext w:val="0"/>
        <w:keepLines w:val="0"/>
        <w:pageBreakBefore w:val="0"/>
        <w:widowControl/>
        <w:kinsoku/>
        <w:wordWrap/>
        <w:overflowPunct/>
        <w:topLinePunct w:val="0"/>
        <w:bidi w:val="0"/>
        <w:spacing w:before="0" w:beforeAutospacing="0" w:after="0" w:afterAutospacing="0" w:line="596" w:lineRule="exact"/>
        <w:ind w:firstLine="0" w:firstLineChars="0"/>
        <w:jc w:val="center"/>
        <w:outlineLvl w:val="0"/>
        <w:rPr>
          <w:rFonts w:hint="eastAsia" w:ascii="方正黑体_GBK" w:hAnsi="方正黑体_GBK" w:eastAsia="方正黑体_GBK" w:cs="方正黑体_GBK"/>
          <w:color w:val="auto"/>
          <w:kern w:val="2"/>
          <w:sz w:val="32"/>
          <w:szCs w:val="32"/>
          <w:lang w:val="en-US" w:eastAsia="zh-CN"/>
        </w:rPr>
      </w:pPr>
      <w:r>
        <w:rPr>
          <w:rFonts w:hint="eastAsia" w:ascii="方正黑体_GBK" w:hAnsi="方正黑体_GBK" w:eastAsia="方正黑体_GBK" w:cs="方正黑体_GBK"/>
          <w:color w:val="auto"/>
          <w:kern w:val="2"/>
          <w:sz w:val="32"/>
          <w:szCs w:val="32"/>
        </w:rPr>
        <w:t xml:space="preserve">第二章  </w:t>
      </w:r>
      <w:r>
        <w:rPr>
          <w:rFonts w:hint="eastAsia" w:ascii="方正黑体_GBK" w:hAnsi="方正黑体_GBK" w:eastAsia="方正黑体_GBK" w:cs="方正黑体_GBK"/>
          <w:color w:val="auto"/>
          <w:kern w:val="2"/>
          <w:sz w:val="32"/>
          <w:szCs w:val="32"/>
          <w:lang w:val="en-US" w:eastAsia="zh-CN"/>
        </w:rPr>
        <w:t>评价专家资质及备案</w:t>
      </w:r>
    </w:p>
    <w:p w14:paraId="2A37315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eastAsia="zh-CN"/>
        </w:rPr>
      </w:pPr>
      <w:r>
        <w:rPr>
          <w:rFonts w:hint="eastAsia" w:ascii="方正楷体_GBK" w:hAnsi="方正楷体_GBK" w:eastAsia="方正楷体_GBK" w:cs="方正楷体_GBK"/>
          <w:color w:val="auto"/>
          <w:kern w:val="2"/>
          <w:sz w:val="32"/>
          <w:szCs w:val="32"/>
          <w:lang w:val="en-US" w:eastAsia="zh-CN"/>
        </w:rPr>
        <w:t>第四条</w:t>
      </w:r>
      <w:r>
        <w:rPr>
          <w:rFonts w:hint="eastAsia" w:ascii="方正仿宋_GBK" w:hAnsi="方正仿宋_GBK" w:eastAsia="方正仿宋_GBK" w:cs="方正仿宋_GBK"/>
          <w:color w:val="auto"/>
          <w:kern w:val="2"/>
          <w:sz w:val="32"/>
          <w:szCs w:val="32"/>
        </w:rPr>
        <w:t xml:space="preserve"> </w:t>
      </w:r>
      <w:r>
        <w:rPr>
          <w:rFonts w:hint="eastAsia" w:ascii="方正仿宋_GBK" w:hAnsi="方正仿宋_GBK" w:eastAsia="方正仿宋_GBK" w:cs="方正仿宋_GBK"/>
          <w:color w:val="auto"/>
          <w:kern w:val="2"/>
          <w:sz w:val="32"/>
          <w:szCs w:val="32"/>
          <w:lang w:eastAsia="zh-CN"/>
        </w:rPr>
        <w:t>电子病历系统应用水平</w:t>
      </w:r>
      <w:r>
        <w:rPr>
          <w:rFonts w:hint="eastAsia" w:ascii="方正仿宋_GBK" w:hAnsi="方正仿宋_GBK" w:eastAsia="方正仿宋_GBK" w:cs="方正仿宋_GBK"/>
          <w:color w:val="auto"/>
          <w:kern w:val="2"/>
          <w:sz w:val="32"/>
          <w:szCs w:val="32"/>
          <w:lang w:val="en-US" w:eastAsia="zh-CN"/>
        </w:rPr>
        <w:t>分级</w:t>
      </w:r>
      <w:r>
        <w:rPr>
          <w:rFonts w:hint="eastAsia" w:ascii="方正仿宋_GBK" w:hAnsi="方正仿宋_GBK" w:eastAsia="方正仿宋_GBK" w:cs="方正仿宋_GBK"/>
          <w:color w:val="auto"/>
          <w:kern w:val="2"/>
          <w:sz w:val="32"/>
          <w:szCs w:val="32"/>
          <w:lang w:eastAsia="zh-CN"/>
        </w:rPr>
        <w:t>评价专家（以下简称评价专家）应符合下列条件：</w:t>
      </w:r>
    </w:p>
    <w:p w14:paraId="433134A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eastAsia="zh-CN"/>
        </w:rPr>
      </w:pPr>
      <w:r>
        <w:rPr>
          <w:rFonts w:hint="eastAsia" w:ascii="方正仿宋_GBK" w:hAnsi="方正仿宋_GBK" w:eastAsia="方正仿宋_GBK" w:cs="方正仿宋_GBK"/>
          <w:color w:val="auto"/>
          <w:kern w:val="2"/>
          <w:sz w:val="32"/>
          <w:szCs w:val="32"/>
          <w:lang w:eastAsia="zh-CN"/>
        </w:rPr>
        <w:t>（一）具有良好的政治素质和职业道德，能够认真、公正、诚实、廉洁地履行职责，遵守评价工作要求；</w:t>
      </w:r>
    </w:p>
    <w:p w14:paraId="0E08908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eastAsia="zh-CN"/>
        </w:rPr>
      </w:pPr>
      <w:r>
        <w:rPr>
          <w:rFonts w:hint="eastAsia" w:ascii="方正仿宋_GBK" w:hAnsi="方正仿宋_GBK" w:eastAsia="方正仿宋_GBK" w:cs="方正仿宋_GBK"/>
          <w:color w:val="auto"/>
          <w:kern w:val="2"/>
          <w:sz w:val="32"/>
          <w:szCs w:val="32"/>
          <w:lang w:eastAsia="zh-CN"/>
        </w:rPr>
        <w:t>（二）从事医疗信息化相关工作或从事医务管理相关工作并熟悉医院信息化业务，满5年且具有高级技术职称；</w:t>
      </w:r>
    </w:p>
    <w:p w14:paraId="21B735E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eastAsia="zh-CN"/>
        </w:rPr>
      </w:pPr>
      <w:r>
        <w:rPr>
          <w:rFonts w:hint="eastAsia" w:ascii="方正仿宋_GBK" w:hAnsi="方正仿宋_GBK" w:eastAsia="方正仿宋_GBK" w:cs="方正仿宋_GBK"/>
          <w:color w:val="auto"/>
          <w:kern w:val="2"/>
          <w:sz w:val="32"/>
          <w:szCs w:val="32"/>
          <w:lang w:eastAsia="zh-CN"/>
        </w:rPr>
        <w:t>（三）熟悉有关电子病历评价工作的法律法规和</w:t>
      </w:r>
      <w:r>
        <w:rPr>
          <w:rFonts w:hint="eastAsia" w:ascii="方正仿宋_GBK" w:hAnsi="方正仿宋_GBK" w:eastAsia="方正仿宋_GBK" w:cs="方正仿宋_GBK"/>
          <w:color w:val="auto"/>
          <w:kern w:val="2"/>
          <w:sz w:val="32"/>
          <w:szCs w:val="32"/>
          <w:lang w:val="en-US" w:eastAsia="zh-CN"/>
        </w:rPr>
        <w:t>政策标</w:t>
      </w:r>
      <w:r>
        <w:rPr>
          <w:rFonts w:hint="eastAsia" w:ascii="方正仿宋_GBK" w:hAnsi="方正仿宋_GBK" w:eastAsia="方正仿宋_GBK" w:cs="方正仿宋_GBK"/>
          <w:color w:val="auto"/>
          <w:kern w:val="2"/>
          <w:sz w:val="32"/>
          <w:szCs w:val="32"/>
          <w:lang w:eastAsia="zh-CN"/>
        </w:rPr>
        <w:t>准，并具有较高学术、技术水平，在行业内有一定影响力和知名度，有组织参与并通过医院电子病历系统分级评价</w:t>
      </w:r>
      <w:r>
        <w:rPr>
          <w:rFonts w:hint="eastAsia" w:ascii="方正仿宋_GBK" w:hAnsi="方正仿宋_GBK" w:eastAsia="方正仿宋_GBK" w:cs="方正仿宋_GBK"/>
          <w:color w:val="auto"/>
          <w:kern w:val="2"/>
          <w:sz w:val="32"/>
          <w:szCs w:val="32"/>
          <w:lang w:val="en-US" w:eastAsia="zh-CN"/>
        </w:rPr>
        <w:t>4</w:t>
      </w:r>
      <w:r>
        <w:rPr>
          <w:rFonts w:hint="eastAsia" w:ascii="方正仿宋_GBK" w:hAnsi="方正仿宋_GBK" w:eastAsia="方正仿宋_GBK" w:cs="方正仿宋_GBK"/>
          <w:color w:val="auto"/>
          <w:kern w:val="2"/>
          <w:sz w:val="32"/>
          <w:szCs w:val="32"/>
          <w:lang w:eastAsia="zh-CN"/>
        </w:rPr>
        <w:t>级</w:t>
      </w:r>
      <w:r>
        <w:rPr>
          <w:rFonts w:hint="eastAsia" w:ascii="方正仿宋_GBK" w:hAnsi="方正仿宋_GBK" w:eastAsia="方正仿宋_GBK" w:cs="方正仿宋_GBK"/>
          <w:color w:val="auto"/>
          <w:kern w:val="2"/>
          <w:sz w:val="32"/>
          <w:szCs w:val="32"/>
          <w:lang w:val="en-US" w:eastAsia="zh-CN"/>
        </w:rPr>
        <w:t>及以上工作经历；</w:t>
      </w:r>
    </w:p>
    <w:p w14:paraId="489DB77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eastAsia="zh-CN"/>
        </w:rPr>
      </w:pPr>
      <w:r>
        <w:rPr>
          <w:rFonts w:hint="eastAsia" w:ascii="方正仿宋_GBK" w:hAnsi="方正仿宋_GBK" w:eastAsia="方正仿宋_GBK" w:cs="方正仿宋_GBK"/>
          <w:color w:val="auto"/>
          <w:kern w:val="2"/>
          <w:sz w:val="32"/>
          <w:szCs w:val="32"/>
          <w:lang w:eastAsia="zh-CN"/>
        </w:rPr>
        <w:t>（四）行业声誉无不良评价；</w:t>
      </w:r>
    </w:p>
    <w:p w14:paraId="73E908C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eastAsia="zh-CN"/>
        </w:rPr>
      </w:pPr>
      <w:r>
        <w:rPr>
          <w:rFonts w:hint="eastAsia" w:ascii="方正仿宋_GBK" w:hAnsi="方正仿宋_GBK" w:eastAsia="方正仿宋_GBK" w:cs="方正仿宋_GBK"/>
          <w:color w:val="auto"/>
          <w:kern w:val="2"/>
          <w:sz w:val="32"/>
          <w:szCs w:val="32"/>
          <w:lang w:eastAsia="zh-CN"/>
        </w:rPr>
        <w:t>（五）专家所在单位对其参加评价工作、接受相关培训等予以支持；</w:t>
      </w:r>
    </w:p>
    <w:p w14:paraId="22D32AA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eastAsia="zh-CN"/>
        </w:rPr>
      </w:pPr>
      <w:r>
        <w:rPr>
          <w:rFonts w:hint="eastAsia" w:ascii="方正仿宋_GBK" w:hAnsi="方正仿宋_GBK" w:eastAsia="方正仿宋_GBK" w:cs="方正仿宋_GBK"/>
          <w:color w:val="auto"/>
          <w:kern w:val="2"/>
          <w:sz w:val="32"/>
          <w:szCs w:val="32"/>
          <w:lang w:eastAsia="zh-CN"/>
        </w:rPr>
        <w:t>（六）符合法律法规和规章规定的其他条件。</w:t>
      </w:r>
    </w:p>
    <w:p w14:paraId="09830CBA">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rPr>
      </w:pPr>
      <w:r>
        <w:rPr>
          <w:rFonts w:hint="eastAsia" w:ascii="方正楷体_GBK" w:hAnsi="方正楷体_GBK" w:eastAsia="方正楷体_GBK" w:cs="方正楷体_GBK"/>
          <w:color w:val="auto"/>
          <w:kern w:val="2"/>
          <w:sz w:val="32"/>
          <w:szCs w:val="32"/>
          <w:lang w:val="en-US" w:eastAsia="zh-CN"/>
        </w:rPr>
        <w:t>第五条</w:t>
      </w:r>
      <w:r>
        <w:rPr>
          <w:rFonts w:hint="eastAsia" w:ascii="方正仿宋_GBK" w:hAnsi="方正仿宋_GBK" w:eastAsia="方正仿宋_GBK" w:cs="方正仿宋_GBK"/>
          <w:color w:val="FF0000"/>
          <w:kern w:val="2"/>
          <w:sz w:val="32"/>
          <w:szCs w:val="32"/>
          <w:lang w:val="en-US" w:eastAsia="zh-CN"/>
        </w:rPr>
        <w:t xml:space="preserve"> </w:t>
      </w:r>
      <w:r>
        <w:rPr>
          <w:rFonts w:hint="eastAsia" w:ascii="方正仿宋_GBK" w:hAnsi="方正仿宋_GBK" w:eastAsia="方正仿宋_GBK" w:cs="方正仿宋_GBK"/>
          <w:color w:val="auto"/>
          <w:kern w:val="2"/>
          <w:sz w:val="32"/>
          <w:szCs w:val="32"/>
          <w:lang w:val="en-US" w:eastAsia="zh-CN"/>
        </w:rPr>
        <w:t>自愿申请，通过全市遴选等方式，对符合评价专家入选条件的人员，进行相关工作制度、业务知识培训考核，合格后完成岗前培训方可参加评价工作。评价专家库的组成应综合考虑专业和区域划分等因素。</w:t>
      </w:r>
    </w:p>
    <w:p w14:paraId="78759E1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trike w:val="0"/>
          <w:dstrike w:val="0"/>
          <w:color w:val="FF0000"/>
          <w:kern w:val="2"/>
          <w:sz w:val="32"/>
          <w:szCs w:val="32"/>
          <w:lang w:val="en-US" w:eastAsia="zh-CN"/>
        </w:rPr>
      </w:pPr>
      <w:r>
        <w:rPr>
          <w:rFonts w:hint="eastAsia" w:ascii="方正楷体_GBK" w:hAnsi="方正楷体_GBK" w:eastAsia="方正楷体_GBK" w:cs="方正楷体_GBK"/>
          <w:color w:val="auto"/>
          <w:kern w:val="2"/>
          <w:sz w:val="32"/>
          <w:szCs w:val="32"/>
          <w:lang w:val="en-US" w:eastAsia="zh-CN"/>
        </w:rPr>
        <w:t>第六条</w:t>
      </w:r>
      <w:r>
        <w:rPr>
          <w:rFonts w:hint="eastAsia" w:ascii="方正仿宋_GBK" w:hAnsi="方正仿宋_GBK" w:eastAsia="方正仿宋_GBK" w:cs="方正仿宋_GBK"/>
          <w:color w:val="auto"/>
          <w:kern w:val="2"/>
          <w:sz w:val="32"/>
          <w:szCs w:val="32"/>
          <w:lang w:val="en-US" w:eastAsia="zh-CN"/>
        </w:rPr>
        <w:t xml:space="preserve"> </w:t>
      </w:r>
      <w:r>
        <w:rPr>
          <w:rFonts w:hint="eastAsia" w:ascii="方正仿宋_GBK" w:hAnsi="方正仿宋_GBK" w:eastAsia="方正仿宋_GBK" w:cs="方正仿宋_GBK"/>
          <w:color w:val="auto"/>
          <w:kern w:val="2"/>
          <w:sz w:val="32"/>
          <w:szCs w:val="32"/>
          <w:lang w:val="en-US" w:eastAsia="zh-CN" w:bidi="ar-SA"/>
        </w:rPr>
        <w:t>专家通过培训考试后，由市卫生健康信息中心统一向国家医院研究所申请账号权限，并按国家卫生健康委和市卫生健康委任务要求分配评级任务。</w:t>
      </w:r>
    </w:p>
    <w:p w14:paraId="324A304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kern w:val="2"/>
          <w:sz w:val="32"/>
          <w:szCs w:val="32"/>
          <w:lang w:val="en-US" w:eastAsia="zh-CN"/>
        </w:rPr>
      </w:pPr>
      <w:r>
        <w:rPr>
          <w:rFonts w:hint="eastAsia" w:ascii="方正楷体_GBK" w:hAnsi="方正楷体_GBK" w:eastAsia="方正楷体_GBK" w:cs="方正楷体_GBK"/>
          <w:color w:val="auto"/>
          <w:kern w:val="2"/>
          <w:sz w:val="32"/>
          <w:szCs w:val="32"/>
          <w:lang w:val="en-US" w:eastAsia="zh-CN"/>
        </w:rPr>
        <w:t>第七条</w:t>
      </w:r>
      <w:r>
        <w:rPr>
          <w:rFonts w:hint="eastAsia" w:ascii="方正仿宋_GBK" w:hAnsi="方正仿宋_GBK" w:eastAsia="方正仿宋_GBK" w:cs="方正仿宋_GBK"/>
          <w:color w:val="auto"/>
          <w:kern w:val="2"/>
          <w:sz w:val="32"/>
          <w:szCs w:val="32"/>
          <w:lang w:val="en-US" w:eastAsia="zh-CN"/>
        </w:rPr>
        <w:t xml:space="preserve"> 市级评价专家应由市卫生健康委正式发文认定，不得随意更改，数量原则上不超过23人，区域内参评二级及以上医疗机构数量较多时，可向国家申请酌情扩增。</w:t>
      </w:r>
    </w:p>
    <w:p w14:paraId="19D169D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rPr>
      </w:pPr>
      <w:r>
        <w:rPr>
          <w:rFonts w:hint="eastAsia" w:ascii="方正楷体_GBK" w:hAnsi="方正楷体_GBK" w:eastAsia="方正楷体_GBK" w:cs="方正楷体_GBK"/>
          <w:color w:val="auto"/>
          <w:kern w:val="2"/>
          <w:sz w:val="32"/>
          <w:szCs w:val="32"/>
          <w:lang w:val="en-US" w:eastAsia="zh-CN"/>
        </w:rPr>
        <w:t>第八条</w:t>
      </w:r>
      <w:r>
        <w:rPr>
          <w:rFonts w:hint="eastAsia" w:ascii="方正仿宋_GBK" w:hAnsi="方正仿宋_GBK" w:eastAsia="方正仿宋_GBK" w:cs="方正仿宋_GBK"/>
          <w:strike w:val="0"/>
          <w:dstrike w:val="0"/>
          <w:color w:val="auto"/>
          <w:kern w:val="2"/>
          <w:sz w:val="32"/>
          <w:szCs w:val="32"/>
          <w:lang w:val="en-US" w:eastAsia="zh-CN"/>
        </w:rPr>
        <w:t xml:space="preserve"> </w:t>
      </w:r>
      <w:r>
        <w:rPr>
          <w:rFonts w:hint="eastAsia" w:ascii="方正仿宋_GBK" w:hAnsi="方正仿宋_GBK" w:eastAsia="方正仿宋_GBK" w:cs="方正仿宋_GBK"/>
          <w:color w:val="auto"/>
          <w:kern w:val="2"/>
          <w:sz w:val="32"/>
          <w:szCs w:val="32"/>
          <w:lang w:val="en-US" w:eastAsia="zh-CN"/>
        </w:rPr>
        <w:t>评价专家经所在单位同意，须在规定时间内登录专家管理系统在线提交下列资料，完成备案：</w:t>
      </w:r>
    </w:p>
    <w:p w14:paraId="271C08F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rPr>
      </w:pPr>
      <w:r>
        <w:rPr>
          <w:rFonts w:hint="eastAsia" w:ascii="方正仿宋_GBK" w:hAnsi="方正仿宋_GBK" w:eastAsia="方正仿宋_GBK" w:cs="方正仿宋_GBK"/>
          <w:color w:val="auto"/>
          <w:kern w:val="2"/>
          <w:sz w:val="32"/>
          <w:szCs w:val="32"/>
          <w:lang w:val="en-US" w:eastAsia="zh-CN"/>
        </w:rPr>
        <w:t>（一）统一格式的专家入库登记表；</w:t>
      </w:r>
    </w:p>
    <w:p w14:paraId="1A03715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rPr>
      </w:pPr>
      <w:r>
        <w:rPr>
          <w:rFonts w:hint="eastAsia" w:ascii="方正仿宋_GBK" w:hAnsi="方正仿宋_GBK" w:eastAsia="方正仿宋_GBK" w:cs="方正仿宋_GBK"/>
          <w:color w:val="auto"/>
          <w:kern w:val="2"/>
          <w:sz w:val="32"/>
          <w:szCs w:val="32"/>
          <w:lang w:val="en-US" w:eastAsia="zh-CN"/>
        </w:rPr>
        <w:t>（二）单位同意书；</w:t>
      </w:r>
    </w:p>
    <w:p w14:paraId="241A54D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rPr>
      </w:pPr>
      <w:r>
        <w:rPr>
          <w:rFonts w:hint="eastAsia" w:ascii="方正仿宋_GBK" w:hAnsi="方正仿宋_GBK" w:eastAsia="方正仿宋_GBK" w:cs="方正仿宋_GBK"/>
          <w:color w:val="auto"/>
          <w:kern w:val="2"/>
          <w:sz w:val="32"/>
          <w:szCs w:val="32"/>
          <w:lang w:val="en-US" w:eastAsia="zh-CN"/>
        </w:rPr>
        <w:t>（三）证明本人身份的有效证件；</w:t>
      </w:r>
    </w:p>
    <w:p w14:paraId="2774F87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rPr>
      </w:pPr>
      <w:r>
        <w:rPr>
          <w:rFonts w:hint="eastAsia" w:ascii="方正仿宋_GBK" w:hAnsi="方正仿宋_GBK" w:eastAsia="方正仿宋_GBK" w:cs="方正仿宋_GBK"/>
          <w:color w:val="auto"/>
          <w:kern w:val="2"/>
          <w:sz w:val="32"/>
          <w:szCs w:val="32"/>
          <w:lang w:val="en-US" w:eastAsia="zh-CN"/>
        </w:rPr>
        <w:t>（四）个人从事电子病历等医疗信息化专业的工作证明材料等；</w:t>
      </w:r>
    </w:p>
    <w:p w14:paraId="1E6BA51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rPr>
      </w:pPr>
      <w:r>
        <w:rPr>
          <w:rFonts w:hint="eastAsia" w:ascii="方正仿宋_GBK" w:hAnsi="方正仿宋_GBK" w:eastAsia="方正仿宋_GBK" w:cs="方正仿宋_GBK"/>
          <w:color w:val="auto"/>
          <w:kern w:val="2"/>
          <w:sz w:val="32"/>
          <w:szCs w:val="32"/>
          <w:lang w:val="en-US" w:eastAsia="zh-CN"/>
        </w:rPr>
        <w:t>（五）保密协议及个人承诺书。</w:t>
      </w:r>
    </w:p>
    <w:p w14:paraId="545C92A3">
      <w:pPr>
        <w:pStyle w:val="6"/>
        <w:keepNext w:val="0"/>
        <w:keepLines w:val="0"/>
        <w:pageBreakBefore w:val="0"/>
        <w:widowControl/>
        <w:kinsoku/>
        <w:wordWrap/>
        <w:overflowPunct/>
        <w:topLinePunct w:val="0"/>
        <w:bidi w:val="0"/>
        <w:spacing w:before="0" w:beforeAutospacing="0" w:after="0" w:afterAutospacing="0" w:line="596" w:lineRule="exact"/>
        <w:jc w:val="center"/>
        <w:outlineLvl w:val="0"/>
        <w:rPr>
          <w:rFonts w:hint="eastAsia" w:ascii="方正仿宋_GBK" w:hAnsi="方正仿宋_GBK" w:eastAsia="方正仿宋_GBK" w:cs="方正仿宋_GBK"/>
          <w:color w:val="auto"/>
          <w:kern w:val="2"/>
          <w:sz w:val="32"/>
          <w:szCs w:val="32"/>
        </w:rPr>
      </w:pPr>
    </w:p>
    <w:p w14:paraId="3CFD6F3C">
      <w:pPr>
        <w:pStyle w:val="6"/>
        <w:keepNext w:val="0"/>
        <w:keepLines w:val="0"/>
        <w:pageBreakBefore w:val="0"/>
        <w:widowControl/>
        <w:kinsoku/>
        <w:wordWrap/>
        <w:overflowPunct/>
        <w:topLinePunct w:val="0"/>
        <w:bidi w:val="0"/>
        <w:spacing w:before="0" w:beforeAutospacing="0" w:after="0" w:afterAutospacing="0" w:line="596" w:lineRule="exact"/>
        <w:ind w:firstLine="0" w:firstLineChars="0"/>
        <w:jc w:val="center"/>
        <w:outlineLvl w:val="0"/>
        <w:rPr>
          <w:rFonts w:hint="eastAsia" w:ascii="方正黑体_GBK" w:hAnsi="方正黑体_GBK" w:eastAsia="方正黑体_GBK" w:cs="方正黑体_GBK"/>
          <w:color w:val="auto"/>
          <w:kern w:val="2"/>
          <w:sz w:val="32"/>
          <w:szCs w:val="32"/>
          <w:lang w:val="en-US" w:eastAsia="zh-CN"/>
        </w:rPr>
      </w:pPr>
      <w:r>
        <w:rPr>
          <w:rFonts w:hint="eastAsia" w:ascii="方正黑体_GBK" w:hAnsi="方正黑体_GBK" w:eastAsia="方正黑体_GBK" w:cs="方正黑体_GBK"/>
          <w:color w:val="auto"/>
          <w:kern w:val="2"/>
          <w:sz w:val="32"/>
          <w:szCs w:val="32"/>
        </w:rPr>
        <w:t xml:space="preserve">第三章 </w:t>
      </w:r>
      <w:r>
        <w:rPr>
          <w:rFonts w:hint="eastAsia" w:ascii="方正黑体_GBK" w:hAnsi="方正黑体_GBK" w:eastAsia="方正黑体_GBK" w:cs="方正黑体_GBK"/>
          <w:color w:val="auto"/>
          <w:kern w:val="2"/>
          <w:sz w:val="32"/>
          <w:szCs w:val="32"/>
          <w:lang w:val="en-US" w:eastAsia="zh-CN"/>
        </w:rPr>
        <w:t>评价专家的权利和义务</w:t>
      </w:r>
    </w:p>
    <w:p w14:paraId="0ECAF8F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lang w:val="en-US" w:eastAsia="zh-CN"/>
        </w:rPr>
        <w:t xml:space="preserve">第九条 </w:t>
      </w:r>
      <w:r>
        <w:rPr>
          <w:rFonts w:hint="eastAsia" w:ascii="方正仿宋_GBK" w:hAnsi="方正仿宋_GBK" w:eastAsia="方正仿宋_GBK" w:cs="方正仿宋_GBK"/>
          <w:color w:val="auto"/>
          <w:kern w:val="2"/>
          <w:sz w:val="32"/>
          <w:szCs w:val="32"/>
        </w:rPr>
        <w:t>评价专家的权利：</w:t>
      </w:r>
    </w:p>
    <w:p w14:paraId="7595B4D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eastAsia="zh-CN"/>
        </w:rPr>
        <w:t>（一）</w:t>
      </w:r>
      <w:r>
        <w:rPr>
          <w:rFonts w:hint="eastAsia" w:ascii="方正仿宋_GBK" w:hAnsi="方正仿宋_GBK" w:eastAsia="方正仿宋_GBK" w:cs="方正仿宋_GBK"/>
          <w:color w:val="auto"/>
          <w:kern w:val="2"/>
          <w:sz w:val="32"/>
          <w:szCs w:val="32"/>
        </w:rPr>
        <w:t>担任评价专家，按照分级评价标准和方法对评价内容进行独立评价，发表专家意见不受任何单位或个人干扰；</w:t>
      </w:r>
    </w:p>
    <w:p w14:paraId="5A25AFA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eastAsia="zh-CN"/>
        </w:rPr>
        <w:t>（二）法律法规</w:t>
      </w:r>
      <w:r>
        <w:rPr>
          <w:rFonts w:hint="eastAsia" w:ascii="方正仿宋_GBK" w:hAnsi="方正仿宋_GBK" w:eastAsia="方正仿宋_GBK" w:cs="方正仿宋_GBK"/>
          <w:color w:val="auto"/>
          <w:kern w:val="2"/>
          <w:sz w:val="32"/>
          <w:szCs w:val="32"/>
        </w:rPr>
        <w:t>规定的其他权利。</w:t>
      </w:r>
    </w:p>
    <w:p w14:paraId="43D7594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eastAsia="zh-CN"/>
        </w:rPr>
      </w:pPr>
      <w:r>
        <w:rPr>
          <w:rFonts w:hint="eastAsia" w:ascii="方正楷体_GBK" w:hAnsi="方正楷体_GBK" w:eastAsia="方正楷体_GBK" w:cs="方正楷体_GBK"/>
          <w:color w:val="auto"/>
          <w:kern w:val="2"/>
          <w:sz w:val="32"/>
          <w:szCs w:val="32"/>
          <w:lang w:val="en-US" w:eastAsia="zh-CN"/>
        </w:rPr>
        <w:t>第十条</w:t>
      </w:r>
      <w:r>
        <w:rPr>
          <w:rFonts w:hint="eastAsia" w:ascii="方正仿宋_GBK" w:hAnsi="方正仿宋_GBK" w:eastAsia="方正仿宋_GBK" w:cs="方正仿宋_GBK"/>
          <w:color w:val="auto"/>
          <w:kern w:val="2"/>
          <w:sz w:val="32"/>
          <w:szCs w:val="32"/>
        </w:rPr>
        <w:t xml:space="preserve"> </w:t>
      </w:r>
      <w:r>
        <w:rPr>
          <w:rFonts w:hint="eastAsia" w:ascii="方正仿宋_GBK" w:hAnsi="方正仿宋_GBK" w:eastAsia="方正仿宋_GBK" w:cs="方正仿宋_GBK"/>
          <w:color w:val="auto"/>
          <w:kern w:val="2"/>
          <w:sz w:val="32"/>
          <w:szCs w:val="32"/>
          <w:lang w:eastAsia="zh-CN"/>
        </w:rPr>
        <w:t>评价专家的义务：</w:t>
      </w:r>
    </w:p>
    <w:p w14:paraId="17A16B0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eastAsia="zh-CN"/>
        </w:rPr>
      </w:pPr>
      <w:r>
        <w:rPr>
          <w:rFonts w:hint="eastAsia" w:ascii="方正仿宋_GBK" w:hAnsi="方正仿宋_GBK" w:eastAsia="方正仿宋_GBK" w:cs="方正仿宋_GBK"/>
          <w:color w:val="auto"/>
          <w:kern w:val="2"/>
          <w:sz w:val="32"/>
          <w:szCs w:val="32"/>
          <w:lang w:eastAsia="zh-CN"/>
        </w:rPr>
        <w:t>（一）按时完成评价工作，遵循公正、透明、规范、有序的原则，客观公正地履行职责，遵守职业道德，对所提出的评价意见承担责任；</w:t>
      </w:r>
    </w:p>
    <w:p w14:paraId="22C085A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eastAsia="zh-CN"/>
        </w:rPr>
      </w:pPr>
      <w:r>
        <w:rPr>
          <w:rFonts w:hint="eastAsia" w:ascii="方正仿宋_GBK" w:hAnsi="方正仿宋_GBK" w:eastAsia="方正仿宋_GBK" w:cs="方正仿宋_GBK"/>
          <w:color w:val="auto"/>
          <w:kern w:val="2"/>
          <w:sz w:val="32"/>
          <w:szCs w:val="32"/>
          <w:lang w:eastAsia="zh-CN"/>
        </w:rPr>
        <w:t>（二）积极协助和配合有关部门的监督检查；</w:t>
      </w:r>
    </w:p>
    <w:p w14:paraId="3FB8A1A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eastAsia="zh-CN"/>
          <w14:textFill>
            <w14:solidFill>
              <w14:schemeClr w14:val="tx1"/>
            </w14:solidFill>
          </w14:textFill>
        </w:rPr>
        <w:t>（三）每年</w:t>
      </w:r>
      <w:r>
        <w:rPr>
          <w:rFonts w:hint="eastAsia" w:ascii="方正仿宋_GBK" w:hAnsi="方正仿宋_GBK" w:eastAsia="方正仿宋_GBK" w:cs="方正仿宋_GBK"/>
          <w:color w:val="000000" w:themeColor="text1"/>
          <w:kern w:val="2"/>
          <w:sz w:val="32"/>
          <w:szCs w:val="32"/>
          <w:lang w:val="en-US" w:eastAsia="zh-CN"/>
          <w14:textFill>
            <w14:solidFill>
              <w14:schemeClr w14:val="tx1"/>
            </w14:solidFill>
          </w14:textFill>
        </w:rPr>
        <w:t>须参加</w:t>
      </w:r>
      <w:r>
        <w:rPr>
          <w:rFonts w:hint="eastAsia" w:ascii="方正仿宋_GBK" w:hAnsi="方正仿宋_GBK" w:eastAsia="方正仿宋_GBK" w:cs="方正仿宋_GBK"/>
          <w:color w:val="000000" w:themeColor="text1"/>
          <w:kern w:val="2"/>
          <w:sz w:val="32"/>
          <w:szCs w:val="32"/>
          <w:lang w:eastAsia="zh-CN"/>
          <w14:textFill>
            <w14:solidFill>
              <w14:schemeClr w14:val="tx1"/>
            </w14:solidFill>
          </w14:textFill>
        </w:rPr>
        <w:t>继续教育培训</w:t>
      </w:r>
      <w:r>
        <w:rPr>
          <w:rFonts w:hint="eastAsia" w:ascii="方正仿宋_GBK" w:hAnsi="方正仿宋_GBK" w:eastAsia="方正仿宋_GBK" w:cs="方正仿宋_GBK"/>
          <w:color w:val="000000" w:themeColor="text1"/>
          <w:kern w:val="2"/>
          <w:sz w:val="32"/>
          <w:szCs w:val="32"/>
          <w:lang w:val="en-US" w:eastAsia="zh-CN"/>
          <w14:textFill>
            <w14:solidFill>
              <w14:schemeClr w14:val="tx1"/>
            </w14:solidFill>
          </w14:textFill>
        </w:rPr>
        <w:t>并完成指派任务</w:t>
      </w:r>
      <w:r>
        <w:rPr>
          <w:rFonts w:hint="eastAsia" w:ascii="方正仿宋_GBK" w:hAnsi="方正仿宋_GBK" w:eastAsia="方正仿宋_GBK" w:cs="方正仿宋_GBK"/>
          <w:color w:val="000000" w:themeColor="text1"/>
          <w:kern w:val="2"/>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14:textFill>
            <w14:solidFill>
              <w14:schemeClr w14:val="tx1"/>
            </w14:solidFill>
          </w14:textFill>
        </w:rPr>
        <w:t>无法参加的，应提前向市卫生健康信息中心请假；连续两次无故缺席者，视为自动放弃专家资格，情节严重者将被移出专家库；</w:t>
      </w:r>
    </w:p>
    <w:p w14:paraId="0B7C064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eastAsia="zh-CN"/>
        </w:rPr>
      </w:pPr>
      <w:r>
        <w:rPr>
          <w:rFonts w:hint="eastAsia" w:ascii="方正仿宋_GBK" w:hAnsi="方正仿宋_GBK" w:eastAsia="方正仿宋_GBK" w:cs="方正仿宋_GBK"/>
          <w:color w:val="auto"/>
          <w:kern w:val="2"/>
          <w:sz w:val="32"/>
          <w:szCs w:val="32"/>
          <w:lang w:eastAsia="zh-CN"/>
        </w:rPr>
        <w:t>（四）具有法定回避情形的，应当主动提出回避；</w:t>
      </w:r>
    </w:p>
    <w:p w14:paraId="7F912AAA">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eastAsia="zh-CN"/>
        </w:rPr>
      </w:pPr>
      <w:r>
        <w:rPr>
          <w:rFonts w:hint="eastAsia" w:ascii="方正仿宋_GBK" w:hAnsi="方正仿宋_GBK" w:eastAsia="方正仿宋_GBK" w:cs="方正仿宋_GBK"/>
          <w:color w:val="auto"/>
          <w:kern w:val="2"/>
          <w:sz w:val="32"/>
          <w:szCs w:val="32"/>
          <w:lang w:eastAsia="zh-CN"/>
        </w:rPr>
        <w:t>（五）对评价相关材料、</w:t>
      </w:r>
      <w:r>
        <w:rPr>
          <w:rFonts w:hint="eastAsia" w:ascii="方正仿宋_GBK" w:hAnsi="方正仿宋_GBK" w:eastAsia="方正仿宋_GBK" w:cs="方正仿宋_GBK"/>
          <w:color w:val="auto"/>
          <w:kern w:val="2"/>
          <w:sz w:val="32"/>
          <w:szCs w:val="32"/>
          <w:lang w:val="en-US" w:eastAsia="zh-CN"/>
        </w:rPr>
        <w:t>数据</w:t>
      </w:r>
      <w:r>
        <w:rPr>
          <w:rFonts w:hint="eastAsia" w:ascii="方正仿宋_GBK" w:hAnsi="方正仿宋_GBK" w:eastAsia="方正仿宋_GBK" w:cs="方正仿宋_GBK"/>
          <w:color w:val="auto"/>
          <w:kern w:val="2"/>
          <w:sz w:val="32"/>
          <w:szCs w:val="32"/>
          <w:lang w:eastAsia="zh-CN"/>
        </w:rPr>
        <w:t>和有关情况严格保密；</w:t>
      </w:r>
    </w:p>
    <w:p w14:paraId="4E978E6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vertAlign w:val="baseline"/>
          <w:lang w:val="en-US" w:eastAsia="zh-CN" w:bidi="ar"/>
        </w:rPr>
      </w:pPr>
      <w:r>
        <w:rPr>
          <w:rFonts w:hint="eastAsia" w:ascii="方正仿宋_GBK" w:hAnsi="方正仿宋_GBK" w:eastAsia="方正仿宋_GBK" w:cs="方正仿宋_GBK"/>
          <w:color w:val="auto"/>
          <w:kern w:val="2"/>
          <w:sz w:val="32"/>
          <w:szCs w:val="32"/>
          <w:lang w:eastAsia="zh-CN"/>
        </w:rPr>
        <w:t>（六）法律法规规定的其他义务</w:t>
      </w:r>
      <w:r>
        <w:rPr>
          <w:rFonts w:hint="eastAsia" w:ascii="方正仿宋_GBK" w:hAnsi="方正仿宋_GBK" w:eastAsia="方正仿宋_GBK" w:cs="方正仿宋_GBK"/>
          <w:color w:val="auto"/>
          <w:kern w:val="0"/>
          <w:sz w:val="32"/>
          <w:szCs w:val="32"/>
          <w:vertAlign w:val="baseline"/>
          <w:lang w:val="en-US" w:eastAsia="zh-CN" w:bidi="ar"/>
        </w:rPr>
        <w:t>。</w:t>
      </w:r>
    </w:p>
    <w:p w14:paraId="48943F4D">
      <w:pPr>
        <w:pStyle w:val="6"/>
        <w:keepNext w:val="0"/>
        <w:keepLines w:val="0"/>
        <w:pageBreakBefore w:val="0"/>
        <w:widowControl/>
        <w:kinsoku/>
        <w:wordWrap/>
        <w:overflowPunct/>
        <w:topLinePunct w:val="0"/>
        <w:bidi w:val="0"/>
        <w:spacing w:before="0" w:beforeAutospacing="0" w:after="0" w:afterAutospacing="0" w:line="596" w:lineRule="exact"/>
        <w:ind w:firstLine="640" w:firstLineChars="200"/>
        <w:jc w:val="center"/>
        <w:outlineLvl w:val="0"/>
        <w:rPr>
          <w:rFonts w:hint="eastAsia" w:ascii="方正仿宋_GBK" w:hAnsi="方正仿宋_GBK" w:eastAsia="方正仿宋_GBK" w:cs="方正仿宋_GBK"/>
          <w:color w:val="auto"/>
          <w:kern w:val="2"/>
          <w:sz w:val="32"/>
          <w:szCs w:val="32"/>
        </w:rPr>
      </w:pPr>
    </w:p>
    <w:p w14:paraId="3BD27F11">
      <w:pPr>
        <w:pStyle w:val="6"/>
        <w:keepNext w:val="0"/>
        <w:keepLines w:val="0"/>
        <w:pageBreakBefore w:val="0"/>
        <w:widowControl/>
        <w:kinsoku/>
        <w:wordWrap/>
        <w:overflowPunct/>
        <w:topLinePunct w:val="0"/>
        <w:bidi w:val="0"/>
        <w:spacing w:before="0" w:beforeAutospacing="0" w:after="0" w:afterAutospacing="0" w:line="596" w:lineRule="exact"/>
        <w:ind w:firstLine="0" w:firstLineChars="0"/>
        <w:jc w:val="center"/>
        <w:outlineLvl w:val="0"/>
        <w:rPr>
          <w:rFonts w:hint="eastAsia" w:ascii="方正黑体_GBK" w:hAnsi="方正黑体_GBK" w:eastAsia="方正黑体_GBK" w:cs="方正黑体_GBK"/>
          <w:color w:val="auto"/>
          <w:kern w:val="2"/>
          <w:sz w:val="32"/>
          <w:szCs w:val="32"/>
          <w:lang w:val="en-US" w:eastAsia="zh-CN"/>
        </w:rPr>
      </w:pPr>
      <w:r>
        <w:rPr>
          <w:rFonts w:hint="eastAsia" w:ascii="方正黑体_GBK" w:hAnsi="方正黑体_GBK" w:eastAsia="方正黑体_GBK" w:cs="方正黑体_GBK"/>
          <w:color w:val="auto"/>
          <w:kern w:val="2"/>
          <w:sz w:val="32"/>
          <w:szCs w:val="32"/>
        </w:rPr>
        <w:t>第</w:t>
      </w:r>
      <w:r>
        <w:rPr>
          <w:rFonts w:hint="eastAsia" w:ascii="方正黑体_GBK" w:hAnsi="方正黑体_GBK" w:eastAsia="方正黑体_GBK" w:cs="方正黑体_GBK"/>
          <w:color w:val="auto"/>
          <w:kern w:val="2"/>
          <w:sz w:val="32"/>
          <w:szCs w:val="32"/>
          <w:lang w:eastAsia="zh-CN"/>
        </w:rPr>
        <w:t>四</w:t>
      </w:r>
      <w:r>
        <w:rPr>
          <w:rFonts w:hint="eastAsia" w:ascii="方正黑体_GBK" w:hAnsi="方正黑体_GBK" w:eastAsia="方正黑体_GBK" w:cs="方正黑体_GBK"/>
          <w:color w:val="auto"/>
          <w:kern w:val="2"/>
          <w:sz w:val="32"/>
          <w:szCs w:val="32"/>
        </w:rPr>
        <w:t xml:space="preserve">章 </w:t>
      </w:r>
      <w:r>
        <w:rPr>
          <w:rFonts w:hint="eastAsia" w:ascii="方正黑体_GBK" w:hAnsi="方正黑体_GBK" w:eastAsia="方正黑体_GBK" w:cs="方正黑体_GBK"/>
          <w:color w:val="auto"/>
          <w:kern w:val="2"/>
          <w:sz w:val="32"/>
          <w:szCs w:val="32"/>
          <w:lang w:val="en-US" w:eastAsia="zh-CN"/>
        </w:rPr>
        <w:t>评价专家的抽取、使用</w:t>
      </w:r>
    </w:p>
    <w:p w14:paraId="295F983B">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vertAlign w:val="baseline"/>
          <w:lang w:val="en-US" w:eastAsia="zh-CN" w:bidi="ar"/>
        </w:rPr>
      </w:pPr>
      <w:r>
        <w:rPr>
          <w:rFonts w:hint="eastAsia" w:ascii="方正楷体_GBK" w:hAnsi="方正楷体_GBK" w:eastAsia="方正楷体_GBK" w:cs="方正楷体_GBK"/>
          <w:color w:val="auto"/>
          <w:kern w:val="2"/>
          <w:sz w:val="32"/>
          <w:szCs w:val="32"/>
          <w:lang w:val="en-US" w:eastAsia="zh-CN"/>
        </w:rPr>
        <w:t>第十一条</w:t>
      </w:r>
      <w:r>
        <w:rPr>
          <w:rFonts w:hint="eastAsia" w:ascii="方正仿宋_GBK" w:hAnsi="方正仿宋_GBK" w:eastAsia="方正仿宋_GBK" w:cs="方正仿宋_GBK"/>
          <w:color w:val="auto"/>
          <w:kern w:val="2"/>
          <w:sz w:val="32"/>
          <w:szCs w:val="32"/>
        </w:rPr>
        <w:t xml:space="preserve"> </w:t>
      </w:r>
      <w:r>
        <w:rPr>
          <w:rFonts w:hint="eastAsia" w:ascii="方正仿宋_GBK" w:hAnsi="方正仿宋_GBK" w:eastAsia="方正仿宋_GBK" w:cs="方正仿宋_GBK"/>
          <w:color w:val="auto"/>
          <w:kern w:val="2"/>
          <w:sz w:val="32"/>
          <w:szCs w:val="32"/>
          <w:vertAlign w:val="baseline"/>
          <w:lang w:val="en-US" w:eastAsia="zh-CN" w:bidi="ar"/>
        </w:rPr>
        <w:t>评价专家工作分为实证材料审核和实际应用审核。各步骤应当从评价专家库中随机抽取，人数为3名或3名以上单数。</w:t>
      </w:r>
    </w:p>
    <w:p w14:paraId="154BB61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vertAlign w:val="baseline"/>
          <w:lang w:val="en-US" w:eastAsia="zh-CN" w:bidi="ar"/>
        </w:rPr>
      </w:pPr>
      <w:r>
        <w:rPr>
          <w:rFonts w:hint="eastAsia" w:ascii="方正楷体_GBK" w:hAnsi="方正楷体_GBK" w:eastAsia="方正楷体_GBK" w:cs="方正楷体_GBK"/>
          <w:color w:val="auto"/>
          <w:kern w:val="2"/>
          <w:sz w:val="32"/>
          <w:szCs w:val="32"/>
          <w:lang w:val="en-US" w:eastAsia="zh-CN"/>
        </w:rPr>
        <w:t>第十二条</w:t>
      </w:r>
      <w:r>
        <w:rPr>
          <w:rFonts w:hint="eastAsia" w:ascii="方正仿宋_GBK" w:hAnsi="方正仿宋_GBK" w:eastAsia="方正仿宋_GBK" w:cs="方正仿宋_GBK"/>
          <w:color w:val="auto"/>
          <w:kern w:val="2"/>
          <w:sz w:val="32"/>
          <w:szCs w:val="32"/>
          <w:vertAlign w:val="baseline"/>
          <w:lang w:val="en-US" w:eastAsia="zh-CN" w:bidi="ar"/>
        </w:rPr>
        <w:t xml:space="preserve"> 实际应用审核的专家按照随机加回避原则抽取，并于评价开始前2个工作日内确定。</w:t>
      </w:r>
    </w:p>
    <w:p w14:paraId="7CCE313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vertAlign w:val="baseline"/>
          <w:lang w:val="en-US" w:eastAsia="zh-CN" w:bidi="ar"/>
        </w:rPr>
      </w:pPr>
      <w:r>
        <w:rPr>
          <w:rFonts w:hint="eastAsia" w:ascii="方正楷体_GBK" w:hAnsi="方正楷体_GBK" w:eastAsia="方正楷体_GBK" w:cs="方正楷体_GBK"/>
          <w:color w:val="auto"/>
          <w:kern w:val="2"/>
          <w:sz w:val="32"/>
          <w:szCs w:val="32"/>
          <w:lang w:val="en-US" w:eastAsia="zh-CN"/>
        </w:rPr>
        <w:t>第十三条</w:t>
      </w:r>
      <w:r>
        <w:rPr>
          <w:rFonts w:hint="eastAsia" w:ascii="方正仿宋_GBK" w:hAnsi="方正仿宋_GBK" w:eastAsia="方正仿宋_GBK" w:cs="方正仿宋_GBK"/>
          <w:color w:val="auto"/>
          <w:kern w:val="2"/>
          <w:sz w:val="32"/>
          <w:szCs w:val="32"/>
          <w:vertAlign w:val="baseline"/>
          <w:lang w:val="en-US" w:eastAsia="zh-CN" w:bidi="ar"/>
        </w:rPr>
        <w:t xml:space="preserve"> 专家管理系统后台对评价专家的抽取过程和最终确定名单进行记录。</w:t>
      </w:r>
    </w:p>
    <w:p w14:paraId="1CA8DECD">
      <w:pPr>
        <w:pStyle w:val="6"/>
        <w:keepNext w:val="0"/>
        <w:keepLines w:val="0"/>
        <w:pageBreakBefore w:val="0"/>
        <w:widowControl/>
        <w:kinsoku/>
        <w:wordWrap/>
        <w:overflowPunct/>
        <w:topLinePunct w:val="0"/>
        <w:bidi w:val="0"/>
        <w:spacing w:before="0" w:beforeAutospacing="0" w:after="0" w:afterAutospacing="0" w:line="596" w:lineRule="exact"/>
        <w:ind w:firstLine="640" w:firstLineChars="200"/>
        <w:rPr>
          <w:rFonts w:hint="eastAsia" w:ascii="方正仿宋_GBK" w:hAnsi="方正仿宋_GBK" w:eastAsia="方正仿宋_GBK" w:cs="方正仿宋_GBK"/>
          <w:color w:val="auto"/>
          <w:kern w:val="2"/>
          <w:sz w:val="32"/>
          <w:szCs w:val="32"/>
        </w:rPr>
      </w:pPr>
    </w:p>
    <w:p w14:paraId="6B11FC95">
      <w:pPr>
        <w:pStyle w:val="6"/>
        <w:keepNext w:val="0"/>
        <w:keepLines w:val="0"/>
        <w:pageBreakBefore w:val="0"/>
        <w:widowControl/>
        <w:kinsoku/>
        <w:wordWrap/>
        <w:overflowPunct/>
        <w:topLinePunct w:val="0"/>
        <w:bidi w:val="0"/>
        <w:spacing w:before="0" w:beforeAutospacing="0" w:after="0" w:afterAutospacing="0" w:line="596" w:lineRule="exact"/>
        <w:ind w:firstLine="0" w:firstLineChars="0"/>
        <w:jc w:val="center"/>
        <w:outlineLvl w:val="0"/>
        <w:rPr>
          <w:rFonts w:hint="eastAsia" w:ascii="方正黑体_GBK" w:hAnsi="方正黑体_GBK" w:eastAsia="方正黑体_GBK" w:cs="方正黑体_GBK"/>
          <w:color w:val="auto"/>
          <w:kern w:val="2"/>
          <w:sz w:val="32"/>
          <w:szCs w:val="32"/>
          <w:lang w:eastAsia="zh-CN"/>
        </w:rPr>
      </w:pPr>
      <w:r>
        <w:rPr>
          <w:rFonts w:hint="eastAsia" w:ascii="方正黑体_GBK" w:hAnsi="方正黑体_GBK" w:eastAsia="方正黑体_GBK" w:cs="方正黑体_GBK"/>
          <w:color w:val="auto"/>
          <w:kern w:val="2"/>
          <w:sz w:val="32"/>
          <w:szCs w:val="32"/>
        </w:rPr>
        <w:t>第</w:t>
      </w:r>
      <w:r>
        <w:rPr>
          <w:rFonts w:hint="eastAsia" w:ascii="方正黑体_GBK" w:hAnsi="方正黑体_GBK" w:eastAsia="方正黑体_GBK" w:cs="方正黑体_GBK"/>
          <w:color w:val="auto"/>
          <w:kern w:val="2"/>
          <w:sz w:val="32"/>
          <w:szCs w:val="32"/>
          <w:lang w:eastAsia="zh-CN"/>
        </w:rPr>
        <w:t>五</w:t>
      </w:r>
      <w:r>
        <w:rPr>
          <w:rFonts w:hint="eastAsia" w:ascii="方正黑体_GBK" w:hAnsi="方正黑体_GBK" w:eastAsia="方正黑体_GBK" w:cs="方正黑体_GBK"/>
          <w:color w:val="auto"/>
          <w:kern w:val="2"/>
          <w:sz w:val="32"/>
          <w:szCs w:val="32"/>
        </w:rPr>
        <w:t xml:space="preserve">章 </w:t>
      </w:r>
      <w:r>
        <w:rPr>
          <w:rFonts w:hint="eastAsia" w:ascii="方正黑体_GBK" w:hAnsi="方正黑体_GBK" w:eastAsia="方正黑体_GBK" w:cs="方正黑体_GBK"/>
          <w:color w:val="auto"/>
          <w:kern w:val="2"/>
          <w:sz w:val="32"/>
          <w:szCs w:val="32"/>
          <w:lang w:val="en-US" w:eastAsia="zh-CN"/>
        </w:rPr>
        <w:t>监督管理</w:t>
      </w:r>
    </w:p>
    <w:p w14:paraId="5683FED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lang w:val="en-US" w:eastAsia="zh-CN"/>
        </w:rPr>
        <w:t>第十四条</w:t>
      </w:r>
      <w:r>
        <w:rPr>
          <w:rFonts w:hint="eastAsia" w:ascii="方正仿宋_GBK" w:hAnsi="方正仿宋_GBK" w:eastAsia="方正仿宋_GBK" w:cs="方正仿宋_GBK"/>
          <w:color w:val="auto"/>
          <w:kern w:val="2"/>
          <w:sz w:val="32"/>
          <w:szCs w:val="32"/>
        </w:rPr>
        <w:t xml:space="preserve"> </w:t>
      </w:r>
      <w:r>
        <w:rPr>
          <w:rFonts w:hint="eastAsia" w:ascii="方正仿宋_GBK" w:hAnsi="方正仿宋_GBK" w:eastAsia="方正仿宋_GBK" w:cs="方正仿宋_GBK"/>
          <w:color w:val="auto"/>
          <w:kern w:val="2"/>
          <w:sz w:val="32"/>
          <w:szCs w:val="32"/>
          <w:lang w:val="en-US" w:eastAsia="zh-CN"/>
        </w:rPr>
        <w:t>市卫生健康委</w:t>
      </w:r>
      <w:r>
        <w:rPr>
          <w:rFonts w:hint="eastAsia" w:ascii="方正仿宋_GBK" w:hAnsi="方正仿宋_GBK" w:eastAsia="方正仿宋_GBK" w:cs="方正仿宋_GBK"/>
          <w:color w:val="auto"/>
          <w:kern w:val="2"/>
          <w:sz w:val="32"/>
          <w:szCs w:val="32"/>
        </w:rPr>
        <w:t>负责</w:t>
      </w:r>
      <w:r>
        <w:rPr>
          <w:rFonts w:hint="eastAsia" w:ascii="方正仿宋_GBK" w:hAnsi="方正仿宋_GBK" w:eastAsia="方正仿宋_GBK" w:cs="方正仿宋_GBK"/>
          <w:color w:val="auto"/>
          <w:kern w:val="2"/>
          <w:sz w:val="32"/>
          <w:szCs w:val="32"/>
          <w:lang w:eastAsia="zh-CN"/>
        </w:rPr>
        <w:t>为</w:t>
      </w:r>
      <w:r>
        <w:rPr>
          <w:rFonts w:hint="eastAsia" w:ascii="方正仿宋_GBK" w:hAnsi="方正仿宋_GBK" w:eastAsia="方正仿宋_GBK" w:cs="方正仿宋_GBK"/>
          <w:color w:val="auto"/>
          <w:kern w:val="2"/>
          <w:sz w:val="32"/>
          <w:szCs w:val="32"/>
        </w:rPr>
        <w:t>评价专家建立个人档案，记录其个人基本资料、资格审核、入库登记、保密承诺、参与评价工作的情况、继续教育培训等相关信息。</w:t>
      </w:r>
    </w:p>
    <w:p w14:paraId="21B512C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lang w:val="en-US" w:eastAsia="zh-CN"/>
        </w:rPr>
        <w:t>第十五条</w:t>
      </w:r>
      <w:r>
        <w:rPr>
          <w:rFonts w:hint="eastAsia" w:ascii="方正仿宋_GBK" w:hAnsi="方正仿宋_GBK" w:eastAsia="方正仿宋_GBK" w:cs="方正仿宋_GBK"/>
          <w:color w:val="auto"/>
          <w:kern w:val="2"/>
          <w:sz w:val="32"/>
          <w:szCs w:val="32"/>
          <w:lang w:val="en-US" w:eastAsia="zh-CN"/>
        </w:rPr>
        <w:t xml:space="preserve"> 市卫生健康委</w:t>
      </w:r>
      <w:r>
        <w:rPr>
          <w:rFonts w:hint="eastAsia" w:ascii="方正仿宋_GBK" w:hAnsi="方正仿宋_GBK" w:eastAsia="方正仿宋_GBK" w:cs="方正仿宋_GBK"/>
          <w:color w:val="auto"/>
          <w:kern w:val="2"/>
          <w:sz w:val="32"/>
          <w:szCs w:val="32"/>
        </w:rPr>
        <w:t>定期邀请</w:t>
      </w:r>
      <w:r>
        <w:rPr>
          <w:rFonts w:hint="eastAsia" w:ascii="方正仿宋_GBK" w:hAnsi="方正仿宋_GBK" w:eastAsia="方正仿宋_GBK" w:cs="方正仿宋_GBK"/>
          <w:color w:val="auto"/>
          <w:kern w:val="2"/>
          <w:sz w:val="32"/>
          <w:szCs w:val="32"/>
          <w:lang w:val="en-US" w:eastAsia="zh-CN"/>
        </w:rPr>
        <w:t>国家</w:t>
      </w:r>
      <w:r>
        <w:rPr>
          <w:rFonts w:hint="eastAsia" w:ascii="方正仿宋_GBK" w:hAnsi="方正仿宋_GBK" w:eastAsia="方正仿宋_GBK" w:cs="方正仿宋_GBK"/>
          <w:color w:val="auto"/>
          <w:kern w:val="2"/>
          <w:sz w:val="32"/>
          <w:szCs w:val="32"/>
        </w:rPr>
        <w:t>医院研究</w:t>
      </w:r>
      <w:r>
        <w:rPr>
          <w:rFonts w:hint="eastAsia" w:ascii="方正仿宋_GBK" w:hAnsi="方正仿宋_GBK" w:eastAsia="方正仿宋_GBK" w:cs="方正仿宋_GBK"/>
          <w:color w:val="auto"/>
          <w:kern w:val="2"/>
          <w:sz w:val="32"/>
          <w:szCs w:val="32"/>
          <w:lang w:val="en-US" w:eastAsia="zh-CN"/>
        </w:rPr>
        <w:t>所</w:t>
      </w:r>
      <w:r>
        <w:rPr>
          <w:rFonts w:hint="eastAsia" w:ascii="方正仿宋_GBK" w:hAnsi="方正仿宋_GBK" w:eastAsia="方正仿宋_GBK" w:cs="方正仿宋_GBK"/>
          <w:color w:val="auto"/>
          <w:kern w:val="2"/>
          <w:sz w:val="32"/>
          <w:szCs w:val="32"/>
        </w:rPr>
        <w:t>按照统一、规范的日程，</w:t>
      </w:r>
      <w:r>
        <w:rPr>
          <w:rFonts w:hint="eastAsia" w:ascii="方正仿宋_GBK" w:hAnsi="方正仿宋_GBK" w:eastAsia="方正仿宋_GBK" w:cs="方正仿宋_GBK"/>
          <w:color w:val="auto"/>
          <w:kern w:val="2"/>
          <w:sz w:val="32"/>
          <w:szCs w:val="32"/>
          <w:lang w:eastAsia="zh-CN"/>
        </w:rPr>
        <w:t>对已</w:t>
      </w:r>
      <w:r>
        <w:rPr>
          <w:rFonts w:hint="eastAsia" w:ascii="方正仿宋_GBK" w:hAnsi="方正仿宋_GBK" w:eastAsia="方正仿宋_GBK" w:cs="方正仿宋_GBK"/>
          <w:color w:val="auto"/>
          <w:kern w:val="2"/>
          <w:sz w:val="32"/>
          <w:szCs w:val="32"/>
        </w:rPr>
        <w:t>完成备案</w:t>
      </w:r>
      <w:r>
        <w:rPr>
          <w:rFonts w:hint="eastAsia" w:ascii="方正仿宋_GBK" w:hAnsi="方正仿宋_GBK" w:eastAsia="方正仿宋_GBK" w:cs="方正仿宋_GBK"/>
          <w:color w:val="auto"/>
          <w:kern w:val="2"/>
          <w:sz w:val="32"/>
          <w:szCs w:val="32"/>
          <w:lang w:eastAsia="zh-CN"/>
        </w:rPr>
        <w:t>的</w:t>
      </w:r>
      <w:r>
        <w:rPr>
          <w:rFonts w:hint="eastAsia" w:ascii="方正仿宋_GBK" w:hAnsi="方正仿宋_GBK" w:eastAsia="方正仿宋_GBK" w:cs="方正仿宋_GBK"/>
          <w:color w:val="auto"/>
          <w:kern w:val="2"/>
          <w:sz w:val="32"/>
          <w:szCs w:val="32"/>
          <w:lang w:val="en-US" w:eastAsia="zh-CN"/>
        </w:rPr>
        <w:t>市</w:t>
      </w:r>
      <w:r>
        <w:rPr>
          <w:rFonts w:hint="eastAsia" w:ascii="方正仿宋_GBK" w:hAnsi="方正仿宋_GBK" w:eastAsia="方正仿宋_GBK" w:cs="方正仿宋_GBK"/>
          <w:color w:val="auto"/>
          <w:kern w:val="2"/>
          <w:sz w:val="32"/>
          <w:szCs w:val="32"/>
        </w:rPr>
        <w:t>级评价专家</w:t>
      </w:r>
      <w:r>
        <w:rPr>
          <w:rFonts w:hint="eastAsia" w:ascii="方正仿宋_GBK" w:hAnsi="方正仿宋_GBK" w:eastAsia="方正仿宋_GBK" w:cs="方正仿宋_GBK"/>
          <w:color w:val="auto"/>
          <w:kern w:val="2"/>
          <w:sz w:val="32"/>
          <w:szCs w:val="32"/>
          <w:lang w:eastAsia="zh-CN"/>
        </w:rPr>
        <w:t>开展</w:t>
      </w:r>
      <w:r>
        <w:rPr>
          <w:rFonts w:hint="eastAsia" w:ascii="方正仿宋_GBK" w:hAnsi="方正仿宋_GBK" w:eastAsia="方正仿宋_GBK" w:cs="方正仿宋_GBK"/>
          <w:color w:val="auto"/>
          <w:kern w:val="2"/>
          <w:sz w:val="32"/>
          <w:szCs w:val="32"/>
        </w:rPr>
        <w:t>业务培训及考核，提升</w:t>
      </w:r>
      <w:r>
        <w:rPr>
          <w:rFonts w:hint="eastAsia" w:ascii="方正仿宋_GBK" w:hAnsi="方正仿宋_GBK" w:eastAsia="方正仿宋_GBK" w:cs="方正仿宋_GBK"/>
          <w:color w:val="auto"/>
          <w:kern w:val="2"/>
          <w:sz w:val="32"/>
          <w:szCs w:val="32"/>
          <w:lang w:val="en-US" w:eastAsia="zh-CN"/>
        </w:rPr>
        <w:t>市</w:t>
      </w:r>
      <w:r>
        <w:rPr>
          <w:rFonts w:hint="eastAsia" w:ascii="方正仿宋_GBK" w:hAnsi="方正仿宋_GBK" w:eastAsia="方正仿宋_GBK" w:cs="方正仿宋_GBK"/>
          <w:color w:val="auto"/>
          <w:kern w:val="2"/>
          <w:sz w:val="32"/>
          <w:szCs w:val="32"/>
        </w:rPr>
        <w:t>级审核的同质化水平。</w:t>
      </w:r>
    </w:p>
    <w:p w14:paraId="07CD02D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lang w:val="en-US" w:eastAsia="zh-CN"/>
        </w:rPr>
        <w:t>第十六条</w:t>
      </w:r>
      <w:r>
        <w:rPr>
          <w:rFonts w:hint="eastAsia" w:ascii="方正仿宋_GBK" w:hAnsi="方正仿宋_GBK" w:eastAsia="方正仿宋_GBK" w:cs="方正仿宋_GBK"/>
          <w:color w:val="auto"/>
          <w:kern w:val="2"/>
          <w:sz w:val="32"/>
          <w:szCs w:val="32"/>
        </w:rPr>
        <w:t xml:space="preserve"> </w:t>
      </w:r>
      <w:r>
        <w:rPr>
          <w:rFonts w:hint="eastAsia" w:ascii="方正仿宋_GBK" w:hAnsi="方正仿宋_GBK" w:eastAsia="方正仿宋_GBK" w:cs="方正仿宋_GBK"/>
          <w:color w:val="auto"/>
          <w:kern w:val="2"/>
          <w:sz w:val="32"/>
          <w:szCs w:val="32"/>
          <w:lang w:val="en-US" w:eastAsia="zh-CN"/>
        </w:rPr>
        <w:t>市</w:t>
      </w:r>
      <w:r>
        <w:rPr>
          <w:rFonts w:hint="eastAsia" w:ascii="方正仿宋_GBK" w:hAnsi="方正仿宋_GBK" w:eastAsia="方正仿宋_GBK" w:cs="方正仿宋_GBK"/>
          <w:color w:val="auto"/>
          <w:kern w:val="2"/>
          <w:sz w:val="32"/>
          <w:szCs w:val="32"/>
        </w:rPr>
        <w:t>卫生健康</w:t>
      </w:r>
      <w:r>
        <w:rPr>
          <w:rFonts w:hint="eastAsia" w:ascii="方正仿宋_GBK" w:hAnsi="方正仿宋_GBK" w:eastAsia="方正仿宋_GBK" w:cs="方正仿宋_GBK"/>
          <w:color w:val="auto"/>
          <w:kern w:val="2"/>
          <w:sz w:val="32"/>
          <w:szCs w:val="32"/>
          <w:lang w:val="en-US" w:eastAsia="zh-CN"/>
        </w:rPr>
        <w:t>委</w:t>
      </w:r>
      <w:r>
        <w:rPr>
          <w:rFonts w:hint="eastAsia" w:ascii="方正仿宋_GBK" w:hAnsi="方正仿宋_GBK" w:eastAsia="方正仿宋_GBK" w:cs="方正仿宋_GBK"/>
          <w:color w:val="auto"/>
          <w:kern w:val="2"/>
          <w:sz w:val="32"/>
          <w:szCs w:val="32"/>
        </w:rPr>
        <w:t>在评价期间应加强对评价专家的信息保护，避免影响评价的公平、公正。</w:t>
      </w:r>
    </w:p>
    <w:p w14:paraId="712C67A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lang w:val="en-US" w:eastAsia="zh-CN"/>
        </w:rPr>
        <w:t>第十七条</w:t>
      </w:r>
      <w:r>
        <w:rPr>
          <w:rFonts w:hint="eastAsia" w:ascii="方正仿宋_GBK" w:hAnsi="方正仿宋_GBK" w:eastAsia="方正仿宋_GBK" w:cs="方正仿宋_GBK"/>
          <w:color w:val="auto"/>
          <w:kern w:val="2"/>
          <w:sz w:val="32"/>
          <w:szCs w:val="32"/>
        </w:rPr>
        <w:t xml:space="preserve"> </w:t>
      </w:r>
      <w:r>
        <w:rPr>
          <w:rFonts w:hint="eastAsia" w:ascii="方正仿宋_GBK" w:hAnsi="方正仿宋_GBK" w:eastAsia="方正仿宋_GBK" w:cs="方正仿宋_GBK"/>
          <w:color w:val="auto"/>
          <w:kern w:val="2"/>
          <w:sz w:val="32"/>
          <w:szCs w:val="32"/>
          <w:lang w:val="en-US" w:eastAsia="zh-CN"/>
        </w:rPr>
        <w:t>市</w:t>
      </w:r>
      <w:r>
        <w:rPr>
          <w:rFonts w:hint="eastAsia" w:ascii="方正仿宋_GBK" w:hAnsi="方正仿宋_GBK" w:eastAsia="方正仿宋_GBK" w:cs="方正仿宋_GBK"/>
          <w:color w:val="auto"/>
          <w:kern w:val="2"/>
          <w:sz w:val="32"/>
          <w:szCs w:val="32"/>
        </w:rPr>
        <w:t>级评价专家库实行动态管理。在每年开始评价前，</w:t>
      </w:r>
      <w:r>
        <w:rPr>
          <w:rFonts w:hint="eastAsia" w:ascii="方正仿宋_GBK" w:hAnsi="方正仿宋_GBK" w:eastAsia="方正仿宋_GBK" w:cs="方正仿宋_GBK"/>
          <w:color w:val="auto"/>
          <w:kern w:val="2"/>
          <w:sz w:val="32"/>
          <w:szCs w:val="32"/>
          <w:lang w:val="en-US" w:eastAsia="zh-CN"/>
        </w:rPr>
        <w:t>市</w:t>
      </w:r>
      <w:r>
        <w:rPr>
          <w:rFonts w:hint="eastAsia" w:ascii="方正仿宋_GBK" w:hAnsi="方正仿宋_GBK" w:eastAsia="方正仿宋_GBK" w:cs="方正仿宋_GBK"/>
          <w:color w:val="auto"/>
          <w:kern w:val="2"/>
          <w:sz w:val="32"/>
          <w:szCs w:val="32"/>
        </w:rPr>
        <w:t>卫生健康</w:t>
      </w:r>
      <w:r>
        <w:rPr>
          <w:rFonts w:hint="eastAsia" w:ascii="方正仿宋_GBK" w:hAnsi="方正仿宋_GBK" w:eastAsia="方正仿宋_GBK" w:cs="方正仿宋_GBK"/>
          <w:color w:val="auto"/>
          <w:kern w:val="2"/>
          <w:sz w:val="32"/>
          <w:szCs w:val="32"/>
          <w:lang w:val="en-US" w:eastAsia="zh-CN"/>
        </w:rPr>
        <w:t>委</w:t>
      </w:r>
      <w:r>
        <w:rPr>
          <w:rFonts w:hint="eastAsia" w:ascii="方正仿宋_GBK" w:hAnsi="方正仿宋_GBK" w:eastAsia="方正仿宋_GBK" w:cs="方正仿宋_GBK"/>
          <w:color w:val="auto"/>
          <w:kern w:val="2"/>
          <w:sz w:val="32"/>
          <w:szCs w:val="32"/>
        </w:rPr>
        <w:t>完成</w:t>
      </w:r>
      <w:r>
        <w:rPr>
          <w:rFonts w:hint="eastAsia" w:ascii="方正仿宋_GBK" w:hAnsi="方正仿宋_GBK" w:eastAsia="方正仿宋_GBK" w:cs="方正仿宋_GBK"/>
          <w:color w:val="auto"/>
          <w:kern w:val="2"/>
          <w:sz w:val="32"/>
          <w:szCs w:val="32"/>
          <w:lang w:val="en-US" w:eastAsia="zh-CN"/>
        </w:rPr>
        <w:t>市级</w:t>
      </w:r>
      <w:r>
        <w:rPr>
          <w:rFonts w:hint="eastAsia" w:ascii="方正仿宋_GBK" w:hAnsi="方正仿宋_GBK" w:eastAsia="方正仿宋_GBK" w:cs="方正仿宋_GBK"/>
          <w:color w:val="auto"/>
          <w:kern w:val="2"/>
          <w:sz w:val="32"/>
          <w:szCs w:val="32"/>
        </w:rPr>
        <w:t>评价专家的教育培训</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考核和动态调整。</w:t>
      </w:r>
    </w:p>
    <w:p w14:paraId="580523A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lang w:val="en-US" w:eastAsia="zh-CN"/>
        </w:rPr>
        <w:t>第十八条</w:t>
      </w:r>
      <w:r>
        <w:rPr>
          <w:rFonts w:hint="eastAsia" w:ascii="方正仿宋_GBK" w:hAnsi="方正仿宋_GBK" w:eastAsia="方正仿宋_GBK" w:cs="方正仿宋_GBK"/>
          <w:color w:val="auto"/>
          <w:kern w:val="2"/>
          <w:sz w:val="32"/>
          <w:szCs w:val="32"/>
        </w:rPr>
        <w:t xml:space="preserve"> 根据客观、公正、审慎、保密的原则，按照电子病历分级评价有关评价程序、评价方法及评价标准，评价期间，专家应当严格遵守评价工作纪律，关闭通讯工具，匿名、独立进行工作。</w:t>
      </w:r>
    </w:p>
    <w:p w14:paraId="1DA18BF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lang w:val="en-US" w:eastAsia="zh-CN"/>
        </w:rPr>
        <w:t>第十九条</w:t>
      </w:r>
      <w:r>
        <w:rPr>
          <w:rFonts w:hint="eastAsia" w:ascii="方正仿宋_GBK" w:hAnsi="方正仿宋_GBK" w:eastAsia="方正仿宋_GBK" w:cs="方正仿宋_GBK"/>
          <w:color w:val="auto"/>
          <w:kern w:val="2"/>
          <w:sz w:val="32"/>
          <w:szCs w:val="32"/>
        </w:rPr>
        <w:t xml:space="preserve"> 有下列情形之一的专家，经审查认定，其</w:t>
      </w:r>
      <w:r>
        <w:rPr>
          <w:rFonts w:hint="eastAsia" w:ascii="方正仿宋_GBK" w:hAnsi="方正仿宋_GBK" w:eastAsia="方正仿宋_GBK" w:cs="方正仿宋_GBK"/>
          <w:color w:val="auto"/>
          <w:kern w:val="2"/>
          <w:sz w:val="32"/>
          <w:szCs w:val="32"/>
          <w:lang w:eastAsia="zh-CN"/>
        </w:rPr>
        <w:t>评价</w:t>
      </w:r>
      <w:r>
        <w:rPr>
          <w:rFonts w:hint="eastAsia" w:ascii="方正仿宋_GBK" w:hAnsi="方正仿宋_GBK" w:eastAsia="方正仿宋_GBK" w:cs="方正仿宋_GBK"/>
          <w:color w:val="auto"/>
          <w:kern w:val="2"/>
          <w:sz w:val="32"/>
          <w:szCs w:val="32"/>
        </w:rPr>
        <w:t>意见无效，取消评价专家资格，并予以通报其所在单位，依法依规严肃处理：</w:t>
      </w:r>
    </w:p>
    <w:p w14:paraId="297B02B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eastAsia="zh-CN"/>
        </w:rPr>
        <w:t>（一）</w:t>
      </w:r>
      <w:r>
        <w:rPr>
          <w:rFonts w:hint="eastAsia" w:ascii="方正仿宋_GBK" w:hAnsi="方正仿宋_GBK" w:eastAsia="方正仿宋_GBK" w:cs="方正仿宋_GBK"/>
          <w:color w:val="auto"/>
          <w:kern w:val="2"/>
          <w:sz w:val="32"/>
          <w:szCs w:val="32"/>
        </w:rPr>
        <w:t>违规向他人透露评价工作情况的；</w:t>
      </w:r>
    </w:p>
    <w:p w14:paraId="18E8936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eastAsia="zh-CN"/>
        </w:rPr>
        <w:t>（二）</w:t>
      </w:r>
      <w:r>
        <w:rPr>
          <w:rFonts w:hint="eastAsia" w:ascii="方正仿宋_GBK" w:hAnsi="方正仿宋_GBK" w:eastAsia="方正仿宋_GBK" w:cs="方正仿宋_GBK"/>
          <w:color w:val="auto"/>
          <w:kern w:val="2"/>
          <w:sz w:val="32"/>
          <w:szCs w:val="32"/>
        </w:rPr>
        <w:t>利用工作之便获取不正当利益的，如</w:t>
      </w:r>
      <w:r>
        <w:rPr>
          <w:rFonts w:hint="eastAsia" w:ascii="方正仿宋_GBK" w:hAnsi="方正仿宋_GBK" w:eastAsia="方正仿宋_GBK" w:cs="方正仿宋_GBK"/>
          <w:color w:val="auto"/>
          <w:kern w:val="2"/>
          <w:sz w:val="32"/>
          <w:szCs w:val="32"/>
          <w:lang w:val="en-US" w:eastAsia="zh-CN"/>
        </w:rPr>
        <w:t>擅自私下</w:t>
      </w:r>
      <w:r>
        <w:rPr>
          <w:rFonts w:hint="eastAsia" w:ascii="方正仿宋_GBK" w:hAnsi="方正仿宋_GBK" w:eastAsia="方正仿宋_GBK" w:cs="方正仿宋_GBK"/>
          <w:color w:val="auto"/>
          <w:kern w:val="2"/>
          <w:sz w:val="32"/>
          <w:szCs w:val="32"/>
        </w:rPr>
        <w:t>接触参评单位，接受参评单位、个人的财物、宴请等，妨碍评价公正的；</w:t>
      </w:r>
    </w:p>
    <w:p w14:paraId="291D89B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eastAsia="zh-CN"/>
        </w:rPr>
        <w:t>（三）</w:t>
      </w:r>
      <w:r>
        <w:rPr>
          <w:rFonts w:hint="eastAsia" w:ascii="方正仿宋_GBK" w:hAnsi="方正仿宋_GBK" w:eastAsia="方正仿宋_GBK" w:cs="方正仿宋_GBK"/>
          <w:color w:val="auto"/>
          <w:kern w:val="2"/>
          <w:sz w:val="32"/>
          <w:szCs w:val="32"/>
        </w:rPr>
        <w:t>不能客观公正履行职责，导致评价结果不符合实际的；</w:t>
      </w:r>
    </w:p>
    <w:p w14:paraId="6EA5345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eastAsia="zh-CN"/>
        </w:rPr>
        <w:t>（四）</w:t>
      </w:r>
      <w:r>
        <w:rPr>
          <w:rFonts w:hint="eastAsia" w:ascii="方正仿宋_GBK" w:hAnsi="方正仿宋_GBK" w:eastAsia="方正仿宋_GBK" w:cs="方正仿宋_GBK"/>
          <w:color w:val="auto"/>
          <w:kern w:val="2"/>
          <w:sz w:val="32"/>
          <w:szCs w:val="32"/>
        </w:rPr>
        <w:t>有意隐瞒个人情况，不执行主动回避制度的；</w:t>
      </w:r>
    </w:p>
    <w:p w14:paraId="4A5AE2E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eastAsia="zh-CN"/>
        </w:rPr>
        <w:t>（五）</w:t>
      </w:r>
      <w:r>
        <w:rPr>
          <w:rFonts w:hint="eastAsia" w:ascii="方正仿宋_GBK" w:hAnsi="方正仿宋_GBK" w:eastAsia="方正仿宋_GBK" w:cs="方正仿宋_GBK"/>
          <w:color w:val="auto"/>
          <w:kern w:val="2"/>
          <w:sz w:val="32"/>
          <w:szCs w:val="32"/>
        </w:rPr>
        <w:t>未经批准，参与智慧医院评价相关的</w:t>
      </w:r>
      <w:r>
        <w:rPr>
          <w:rFonts w:hint="eastAsia" w:ascii="方正仿宋_GBK" w:hAnsi="方正仿宋_GBK" w:eastAsia="方正仿宋_GBK" w:cs="方正仿宋_GBK"/>
          <w:color w:val="auto"/>
          <w:kern w:val="2"/>
          <w:sz w:val="32"/>
          <w:szCs w:val="32"/>
          <w:lang w:val="en-US" w:eastAsia="zh-CN"/>
        </w:rPr>
        <w:t>工作</w:t>
      </w:r>
      <w:r>
        <w:rPr>
          <w:rFonts w:hint="eastAsia" w:ascii="方正仿宋_GBK" w:hAnsi="方正仿宋_GBK" w:eastAsia="方正仿宋_GBK" w:cs="方正仿宋_GBK"/>
          <w:color w:val="auto"/>
          <w:kern w:val="2"/>
          <w:sz w:val="32"/>
          <w:szCs w:val="32"/>
        </w:rPr>
        <w:t>活动，包括</w:t>
      </w:r>
      <w:r>
        <w:rPr>
          <w:rFonts w:hint="eastAsia" w:ascii="方正仿宋_GBK" w:hAnsi="方正仿宋_GBK" w:eastAsia="方正仿宋_GBK" w:cs="方正仿宋_GBK"/>
          <w:color w:val="auto"/>
          <w:kern w:val="2"/>
          <w:sz w:val="32"/>
          <w:szCs w:val="32"/>
          <w:lang w:val="en-US" w:eastAsia="zh-CN"/>
        </w:rPr>
        <w:t>标准起草、标准解读、</w:t>
      </w:r>
      <w:r>
        <w:rPr>
          <w:rFonts w:hint="eastAsia" w:ascii="方正仿宋_GBK" w:hAnsi="方正仿宋_GBK" w:eastAsia="方正仿宋_GBK" w:cs="方正仿宋_GBK"/>
          <w:color w:val="auto"/>
          <w:kern w:val="2"/>
          <w:sz w:val="32"/>
          <w:szCs w:val="32"/>
        </w:rPr>
        <w:t>规划咨询、评选评奖、安全测评、竞赛比赛等；</w:t>
      </w:r>
    </w:p>
    <w:p w14:paraId="0E1E3F7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eastAsia="zh-CN"/>
        </w:rPr>
        <w:t>（六）</w:t>
      </w:r>
      <w:r>
        <w:rPr>
          <w:rFonts w:hint="eastAsia" w:ascii="方正仿宋_GBK" w:hAnsi="方正仿宋_GBK" w:eastAsia="方正仿宋_GBK" w:cs="方正仿宋_GBK"/>
          <w:color w:val="auto"/>
          <w:kern w:val="2"/>
          <w:sz w:val="32"/>
          <w:szCs w:val="32"/>
        </w:rPr>
        <w:t>未经批准，擅自公开发表过级经验等相关言论；</w:t>
      </w:r>
    </w:p>
    <w:p w14:paraId="0BC4606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eastAsia="zh-CN"/>
        </w:rPr>
        <w:t>（七）</w:t>
      </w:r>
      <w:r>
        <w:rPr>
          <w:rFonts w:hint="eastAsia" w:ascii="方正仿宋_GBK" w:hAnsi="方正仿宋_GBK" w:eastAsia="方正仿宋_GBK" w:cs="方正仿宋_GBK"/>
          <w:color w:val="auto"/>
          <w:kern w:val="2"/>
          <w:sz w:val="32"/>
          <w:szCs w:val="32"/>
        </w:rPr>
        <w:t>未经批准，组织或参与非官方举办的标准解读、培训及宣传等；</w:t>
      </w:r>
    </w:p>
    <w:p w14:paraId="1405B90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eastAsia="zh-CN"/>
        </w:rPr>
        <w:t>（八）</w:t>
      </w:r>
      <w:r>
        <w:rPr>
          <w:rFonts w:hint="eastAsia" w:ascii="方正仿宋_GBK" w:hAnsi="方正仿宋_GBK" w:eastAsia="方正仿宋_GBK" w:cs="方正仿宋_GBK"/>
          <w:color w:val="auto"/>
          <w:kern w:val="2"/>
          <w:sz w:val="32"/>
          <w:szCs w:val="32"/>
        </w:rPr>
        <w:t>非本人完成评价工作，转交他人完成的；</w:t>
      </w:r>
    </w:p>
    <w:p w14:paraId="1C48F41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eastAsia="zh-CN"/>
        </w:rPr>
        <w:t>（九）</w:t>
      </w:r>
      <w:r>
        <w:rPr>
          <w:rFonts w:hint="eastAsia" w:ascii="方正仿宋_GBK" w:hAnsi="方正仿宋_GBK" w:eastAsia="方正仿宋_GBK" w:cs="方正仿宋_GBK"/>
          <w:color w:val="auto"/>
          <w:kern w:val="2"/>
          <w:sz w:val="32"/>
          <w:szCs w:val="32"/>
        </w:rPr>
        <w:t>有</w:t>
      </w:r>
      <w:r>
        <w:rPr>
          <w:rFonts w:hint="eastAsia" w:ascii="方正仿宋_GBK" w:hAnsi="方正仿宋_GBK" w:eastAsia="方正仿宋_GBK" w:cs="方正仿宋_GBK"/>
          <w:color w:val="auto"/>
          <w:kern w:val="2"/>
          <w:sz w:val="32"/>
          <w:szCs w:val="32"/>
          <w:lang w:eastAsia="zh-CN"/>
        </w:rPr>
        <w:t>其他</w:t>
      </w:r>
      <w:r>
        <w:rPr>
          <w:rFonts w:hint="eastAsia" w:ascii="方正仿宋_GBK" w:hAnsi="方正仿宋_GBK" w:eastAsia="方正仿宋_GBK" w:cs="方正仿宋_GBK"/>
          <w:color w:val="auto"/>
          <w:kern w:val="2"/>
          <w:sz w:val="32"/>
          <w:szCs w:val="32"/>
        </w:rPr>
        <w:t>违反国家</w:t>
      </w:r>
      <w:r>
        <w:rPr>
          <w:rFonts w:hint="eastAsia" w:ascii="方正仿宋_GBK" w:hAnsi="方正仿宋_GBK" w:eastAsia="方正仿宋_GBK" w:cs="方正仿宋_GBK"/>
          <w:color w:val="auto"/>
          <w:kern w:val="2"/>
          <w:sz w:val="32"/>
          <w:szCs w:val="32"/>
          <w:lang w:eastAsia="zh-CN"/>
        </w:rPr>
        <w:t>法律法规</w:t>
      </w:r>
      <w:r>
        <w:rPr>
          <w:rFonts w:hint="eastAsia" w:ascii="方正仿宋_GBK" w:hAnsi="方正仿宋_GBK" w:eastAsia="方正仿宋_GBK" w:cs="方正仿宋_GBK"/>
          <w:color w:val="auto"/>
          <w:kern w:val="2"/>
          <w:sz w:val="32"/>
          <w:szCs w:val="32"/>
        </w:rPr>
        <w:t>情形的。</w:t>
      </w:r>
    </w:p>
    <w:p w14:paraId="7EC703E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楷体_GBK" w:hAnsi="方正楷体_GBK" w:eastAsia="方正楷体_GBK" w:cs="方正楷体_GBK"/>
          <w:color w:val="auto"/>
          <w:kern w:val="2"/>
          <w:sz w:val="32"/>
          <w:szCs w:val="32"/>
          <w:lang w:val="en-US" w:eastAsia="zh-CN"/>
        </w:rPr>
        <w:t>第二十条</w:t>
      </w:r>
      <w:r>
        <w:rPr>
          <w:rFonts w:hint="eastAsia" w:ascii="方正仿宋_GBK" w:hAnsi="方正仿宋_GBK" w:eastAsia="方正仿宋_GBK" w:cs="方正仿宋_GBK"/>
          <w:color w:val="auto"/>
          <w:kern w:val="2"/>
          <w:sz w:val="32"/>
          <w:szCs w:val="32"/>
        </w:rPr>
        <w:t xml:space="preserve"> </w:t>
      </w:r>
      <w:r>
        <w:rPr>
          <w:rFonts w:hint="eastAsia" w:ascii="方正仿宋_GBK" w:hAnsi="方正仿宋_GBK" w:eastAsia="方正仿宋_GBK" w:cs="方正仿宋_GBK"/>
          <w:color w:val="auto"/>
          <w:kern w:val="2"/>
          <w:sz w:val="32"/>
          <w:szCs w:val="32"/>
          <w:lang w:val="en-US" w:eastAsia="zh-CN"/>
        </w:rPr>
        <w:t>市区两级卫生健康委和各医疗机构共同监督，</w:t>
      </w:r>
      <w:r>
        <w:rPr>
          <w:rFonts w:hint="eastAsia" w:ascii="方正仿宋_GBK" w:hAnsi="方正仿宋_GBK" w:eastAsia="方正仿宋_GBK" w:cs="方正仿宋_GBK"/>
          <w:color w:val="auto"/>
          <w:kern w:val="2"/>
          <w:sz w:val="32"/>
          <w:szCs w:val="32"/>
        </w:rPr>
        <w:t>发现问题</w:t>
      </w:r>
      <w:r>
        <w:rPr>
          <w:rFonts w:hint="eastAsia" w:ascii="方正仿宋_GBK" w:hAnsi="方正仿宋_GBK" w:eastAsia="方正仿宋_GBK" w:cs="方正仿宋_GBK"/>
          <w:color w:val="auto"/>
          <w:kern w:val="2"/>
          <w:sz w:val="32"/>
          <w:szCs w:val="32"/>
          <w:lang w:val="en-US" w:eastAsia="zh-CN"/>
        </w:rPr>
        <w:t>线索</w:t>
      </w:r>
      <w:r>
        <w:rPr>
          <w:rFonts w:hint="eastAsia" w:ascii="方正仿宋_GBK" w:hAnsi="方正仿宋_GBK" w:eastAsia="方正仿宋_GBK" w:cs="方正仿宋_GBK"/>
          <w:color w:val="auto"/>
          <w:kern w:val="2"/>
          <w:sz w:val="32"/>
          <w:szCs w:val="32"/>
        </w:rPr>
        <w:t>及时</w:t>
      </w:r>
      <w:r>
        <w:rPr>
          <w:rFonts w:hint="eastAsia" w:ascii="方正仿宋_GBK" w:hAnsi="方正仿宋_GBK" w:eastAsia="方正仿宋_GBK" w:cs="方正仿宋_GBK"/>
          <w:color w:val="auto"/>
          <w:kern w:val="2"/>
          <w:sz w:val="32"/>
          <w:szCs w:val="32"/>
          <w:lang w:val="en-US" w:eastAsia="zh-CN"/>
        </w:rPr>
        <w:t>报告</w:t>
      </w:r>
      <w:r>
        <w:rPr>
          <w:rFonts w:hint="eastAsia" w:ascii="方正仿宋_GBK" w:hAnsi="方正仿宋_GBK" w:eastAsia="方正仿宋_GBK" w:cs="方正仿宋_GBK"/>
          <w:color w:val="auto"/>
          <w:kern w:val="2"/>
          <w:sz w:val="32"/>
          <w:szCs w:val="32"/>
        </w:rPr>
        <w:t>。</w:t>
      </w:r>
    </w:p>
    <w:p w14:paraId="6462697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rPr>
      </w:pPr>
    </w:p>
    <w:p w14:paraId="6E1364FC">
      <w:pPr>
        <w:pStyle w:val="6"/>
        <w:keepNext w:val="0"/>
        <w:keepLines w:val="0"/>
        <w:pageBreakBefore w:val="0"/>
        <w:widowControl/>
        <w:kinsoku/>
        <w:wordWrap/>
        <w:overflowPunct/>
        <w:topLinePunct w:val="0"/>
        <w:bidi w:val="0"/>
        <w:spacing w:before="0" w:beforeAutospacing="0" w:after="0" w:afterAutospacing="0" w:line="596" w:lineRule="exact"/>
        <w:ind w:firstLine="0" w:firstLineChars="0"/>
        <w:jc w:val="center"/>
        <w:outlineLvl w:val="0"/>
        <w:rPr>
          <w:rFonts w:hint="eastAsia" w:ascii="方正黑体_GBK" w:hAnsi="方正黑体_GBK" w:eastAsia="方正黑体_GBK" w:cs="方正黑体_GBK"/>
          <w:color w:val="auto"/>
          <w:kern w:val="2"/>
          <w:sz w:val="32"/>
          <w:szCs w:val="32"/>
        </w:rPr>
      </w:pPr>
      <w:r>
        <w:rPr>
          <w:rFonts w:hint="eastAsia" w:ascii="方正黑体_GBK" w:hAnsi="方正黑体_GBK" w:eastAsia="方正黑体_GBK" w:cs="方正黑体_GBK"/>
          <w:color w:val="auto"/>
          <w:kern w:val="2"/>
          <w:sz w:val="32"/>
          <w:szCs w:val="32"/>
        </w:rPr>
        <w:t>第六章</w:t>
      </w:r>
      <w:r>
        <w:rPr>
          <w:rFonts w:hint="eastAsia" w:ascii="方正黑体_GBK" w:hAnsi="方正黑体_GBK" w:eastAsia="方正黑体_GBK" w:cs="方正黑体_GBK"/>
          <w:color w:val="auto"/>
          <w:kern w:val="2"/>
          <w:sz w:val="32"/>
          <w:szCs w:val="32"/>
          <w:lang w:val="en-US" w:eastAsia="zh-CN"/>
        </w:rPr>
        <w:t xml:space="preserve"> </w:t>
      </w:r>
      <w:r>
        <w:rPr>
          <w:rFonts w:hint="eastAsia" w:ascii="方正黑体_GBK" w:hAnsi="方正黑体_GBK" w:eastAsia="方正黑体_GBK" w:cs="方正黑体_GBK"/>
          <w:color w:val="auto"/>
          <w:kern w:val="2"/>
          <w:sz w:val="32"/>
          <w:szCs w:val="32"/>
        </w:rPr>
        <w:t>附则</w:t>
      </w:r>
    </w:p>
    <w:p w14:paraId="384F903B">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2"/>
          <w:sz w:val="32"/>
          <w:szCs w:val="32"/>
          <w:lang w:eastAsia="zh-CN"/>
        </w:rPr>
      </w:pPr>
      <w:r>
        <w:rPr>
          <w:rFonts w:hint="eastAsia" w:ascii="方正楷体_GBK" w:hAnsi="方正楷体_GBK" w:eastAsia="方正楷体_GBK" w:cs="方正楷体_GBK"/>
          <w:color w:val="auto"/>
          <w:kern w:val="2"/>
          <w:sz w:val="32"/>
          <w:szCs w:val="32"/>
          <w:lang w:val="en-US" w:eastAsia="zh-CN"/>
        </w:rPr>
        <w:t>第二十一条</w:t>
      </w:r>
      <w:r>
        <w:rPr>
          <w:rFonts w:hint="eastAsia" w:ascii="方正仿宋_GBK" w:hAnsi="方正仿宋_GBK" w:eastAsia="方正仿宋_GBK" w:cs="方正仿宋_GBK"/>
          <w:color w:val="auto"/>
          <w:kern w:val="2"/>
          <w:sz w:val="32"/>
          <w:szCs w:val="32"/>
        </w:rPr>
        <w:t xml:space="preserve"> 本办法自发布之日起施行</w:t>
      </w:r>
      <w:r>
        <w:rPr>
          <w:rFonts w:hint="eastAsia" w:ascii="方正仿宋_GBK" w:hAnsi="方正仿宋_GBK" w:eastAsia="方正仿宋_GBK" w:cs="方正仿宋_GBK"/>
          <w:color w:val="auto"/>
          <w:kern w:val="2"/>
          <w:sz w:val="32"/>
          <w:szCs w:val="32"/>
          <w:lang w:eastAsia="zh-CN"/>
        </w:rPr>
        <w:t>。此前发布的相关管理规定与本办法不一致的，以本办法为准。</w:t>
      </w:r>
    </w:p>
    <w:sectPr>
      <w:footerReference r:id="rId3" w:type="default"/>
      <w:pgSz w:w="11906" w:h="16838"/>
      <w:pgMar w:top="2098" w:right="1446" w:bottom="1644" w:left="144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KaiTi_GB2312">
    <w:altName w:val="Noto Serif CJK SC"/>
    <w:panose1 w:val="02010609030101010101"/>
    <w:charset w:val="00"/>
    <w:family w:val="roman"/>
    <w:pitch w:val="default"/>
    <w:sig w:usb0="00000000" w:usb1="00000000" w:usb2="00000000" w:usb3="00000000" w:csb0="00040001" w:csb1="00000000"/>
  </w:font>
  <w:font w:name="Noto Serif CJK SC">
    <w:panose1 w:val="02020400000000000000"/>
    <w:charset w:val="86"/>
    <w:family w:val="auto"/>
    <w:pitch w:val="default"/>
    <w:sig w:usb0="30000083" w:usb1="2BDF3C10" w:usb2="00000016" w:usb3="00000000" w:csb0="602E0107"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5D9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8E06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38E06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OWVhZjdhYTU4NjE1ZjA4ZGZjN2Y5YWJmMmJhOGIifQ=="/>
    <w:docVar w:name="KSO_WPS_MARK_KEY" w:val="37085d1c-199a-4301-a645-506591c6fd05"/>
  </w:docVars>
  <w:rsids>
    <w:rsidRoot w:val="37513FB1"/>
    <w:rsid w:val="0012084C"/>
    <w:rsid w:val="00512A60"/>
    <w:rsid w:val="00537B92"/>
    <w:rsid w:val="005C6C01"/>
    <w:rsid w:val="006A7284"/>
    <w:rsid w:val="00832B50"/>
    <w:rsid w:val="009B3172"/>
    <w:rsid w:val="009D1BC1"/>
    <w:rsid w:val="00C70BE9"/>
    <w:rsid w:val="00CC27D6"/>
    <w:rsid w:val="00D6459D"/>
    <w:rsid w:val="00F07FB3"/>
    <w:rsid w:val="00F15352"/>
    <w:rsid w:val="00F763AE"/>
    <w:rsid w:val="012A6A5D"/>
    <w:rsid w:val="013E4036"/>
    <w:rsid w:val="02352139"/>
    <w:rsid w:val="02532994"/>
    <w:rsid w:val="026A2C65"/>
    <w:rsid w:val="028326DD"/>
    <w:rsid w:val="028419B4"/>
    <w:rsid w:val="02906FEE"/>
    <w:rsid w:val="02B74322"/>
    <w:rsid w:val="02CE26DD"/>
    <w:rsid w:val="03220893"/>
    <w:rsid w:val="03291E76"/>
    <w:rsid w:val="033826FF"/>
    <w:rsid w:val="03433852"/>
    <w:rsid w:val="03755CC2"/>
    <w:rsid w:val="037B4621"/>
    <w:rsid w:val="037C356F"/>
    <w:rsid w:val="039321EB"/>
    <w:rsid w:val="03BE05D5"/>
    <w:rsid w:val="03D27B67"/>
    <w:rsid w:val="0415654B"/>
    <w:rsid w:val="04212517"/>
    <w:rsid w:val="042A29F9"/>
    <w:rsid w:val="04613238"/>
    <w:rsid w:val="04622C61"/>
    <w:rsid w:val="04C73402"/>
    <w:rsid w:val="04D32D6A"/>
    <w:rsid w:val="04D72910"/>
    <w:rsid w:val="04E73FEA"/>
    <w:rsid w:val="0506150F"/>
    <w:rsid w:val="053158C7"/>
    <w:rsid w:val="0555463F"/>
    <w:rsid w:val="05C435A6"/>
    <w:rsid w:val="05C72273"/>
    <w:rsid w:val="05C8699E"/>
    <w:rsid w:val="05F06849"/>
    <w:rsid w:val="05F9161B"/>
    <w:rsid w:val="06361E3F"/>
    <w:rsid w:val="06424338"/>
    <w:rsid w:val="065B4F4C"/>
    <w:rsid w:val="0683282F"/>
    <w:rsid w:val="0689390A"/>
    <w:rsid w:val="0692135C"/>
    <w:rsid w:val="06C53665"/>
    <w:rsid w:val="0707797C"/>
    <w:rsid w:val="0708395E"/>
    <w:rsid w:val="070F4CE1"/>
    <w:rsid w:val="08417C86"/>
    <w:rsid w:val="084663F1"/>
    <w:rsid w:val="08672619"/>
    <w:rsid w:val="086F2474"/>
    <w:rsid w:val="0887517C"/>
    <w:rsid w:val="088907EC"/>
    <w:rsid w:val="09A41957"/>
    <w:rsid w:val="09BD5B3E"/>
    <w:rsid w:val="09C66337"/>
    <w:rsid w:val="09D24B89"/>
    <w:rsid w:val="09F22014"/>
    <w:rsid w:val="0A126FF3"/>
    <w:rsid w:val="0A4F5301"/>
    <w:rsid w:val="0A563812"/>
    <w:rsid w:val="0A6F0367"/>
    <w:rsid w:val="0A8B25F7"/>
    <w:rsid w:val="0A9073E4"/>
    <w:rsid w:val="0AA6433A"/>
    <w:rsid w:val="0AF15C79"/>
    <w:rsid w:val="0B055EDF"/>
    <w:rsid w:val="0B2D7350"/>
    <w:rsid w:val="0B6A16DA"/>
    <w:rsid w:val="0B8372B5"/>
    <w:rsid w:val="0BC814B2"/>
    <w:rsid w:val="0CA052F1"/>
    <w:rsid w:val="0CD44A40"/>
    <w:rsid w:val="0CF734FA"/>
    <w:rsid w:val="0CF96DAD"/>
    <w:rsid w:val="0D97574D"/>
    <w:rsid w:val="0DA31515"/>
    <w:rsid w:val="0DC1065A"/>
    <w:rsid w:val="0DCD4AD7"/>
    <w:rsid w:val="0DEE5526"/>
    <w:rsid w:val="0DF97656"/>
    <w:rsid w:val="0E336D77"/>
    <w:rsid w:val="0E3B2037"/>
    <w:rsid w:val="0E533AC7"/>
    <w:rsid w:val="0E5E7BA3"/>
    <w:rsid w:val="0F445C2A"/>
    <w:rsid w:val="0F50591F"/>
    <w:rsid w:val="0F952FBB"/>
    <w:rsid w:val="0FBF048D"/>
    <w:rsid w:val="0FCE12B9"/>
    <w:rsid w:val="0FE86AF6"/>
    <w:rsid w:val="0FF13988"/>
    <w:rsid w:val="0FFC4FD8"/>
    <w:rsid w:val="10B06242"/>
    <w:rsid w:val="11096837"/>
    <w:rsid w:val="110A4363"/>
    <w:rsid w:val="11177021"/>
    <w:rsid w:val="112B32C6"/>
    <w:rsid w:val="115E39E4"/>
    <w:rsid w:val="119D1227"/>
    <w:rsid w:val="11D1631B"/>
    <w:rsid w:val="11D17AE4"/>
    <w:rsid w:val="11F65EC4"/>
    <w:rsid w:val="121504F6"/>
    <w:rsid w:val="125E0526"/>
    <w:rsid w:val="12B401CA"/>
    <w:rsid w:val="12B60077"/>
    <w:rsid w:val="130077D1"/>
    <w:rsid w:val="130C5756"/>
    <w:rsid w:val="131D2047"/>
    <w:rsid w:val="133E1020"/>
    <w:rsid w:val="13785584"/>
    <w:rsid w:val="13876B4A"/>
    <w:rsid w:val="13A94BBA"/>
    <w:rsid w:val="13C7488E"/>
    <w:rsid w:val="13DD3BE7"/>
    <w:rsid w:val="13FE04E6"/>
    <w:rsid w:val="13FFDDF1"/>
    <w:rsid w:val="14004503"/>
    <w:rsid w:val="142552BA"/>
    <w:rsid w:val="146855F8"/>
    <w:rsid w:val="1471445F"/>
    <w:rsid w:val="149D5D56"/>
    <w:rsid w:val="14C0338F"/>
    <w:rsid w:val="14D234BD"/>
    <w:rsid w:val="14D82AF3"/>
    <w:rsid w:val="1502683D"/>
    <w:rsid w:val="151671F4"/>
    <w:rsid w:val="15392994"/>
    <w:rsid w:val="15546FC2"/>
    <w:rsid w:val="15623F3D"/>
    <w:rsid w:val="157C4817"/>
    <w:rsid w:val="157F40AD"/>
    <w:rsid w:val="15C35624"/>
    <w:rsid w:val="15C909CB"/>
    <w:rsid w:val="15F33BA3"/>
    <w:rsid w:val="1651520E"/>
    <w:rsid w:val="16A8521B"/>
    <w:rsid w:val="16AD7FC5"/>
    <w:rsid w:val="16DC7106"/>
    <w:rsid w:val="16F644F8"/>
    <w:rsid w:val="1737425D"/>
    <w:rsid w:val="17412D15"/>
    <w:rsid w:val="17655333"/>
    <w:rsid w:val="1773313D"/>
    <w:rsid w:val="177B5CB0"/>
    <w:rsid w:val="17B3018C"/>
    <w:rsid w:val="17E44587"/>
    <w:rsid w:val="18AA3D47"/>
    <w:rsid w:val="18B41F58"/>
    <w:rsid w:val="18F74950"/>
    <w:rsid w:val="19187C8C"/>
    <w:rsid w:val="195552DD"/>
    <w:rsid w:val="19616ABA"/>
    <w:rsid w:val="198D38F1"/>
    <w:rsid w:val="1993739F"/>
    <w:rsid w:val="19B85F28"/>
    <w:rsid w:val="19C2765B"/>
    <w:rsid w:val="19CF7AD2"/>
    <w:rsid w:val="19D64F94"/>
    <w:rsid w:val="19DD65BF"/>
    <w:rsid w:val="1A2D59A3"/>
    <w:rsid w:val="1AAB010A"/>
    <w:rsid w:val="1AD5725E"/>
    <w:rsid w:val="1B2A119C"/>
    <w:rsid w:val="1B4279E9"/>
    <w:rsid w:val="1BB85220"/>
    <w:rsid w:val="1BB972CD"/>
    <w:rsid w:val="1BE53946"/>
    <w:rsid w:val="1BE679CB"/>
    <w:rsid w:val="1C647B62"/>
    <w:rsid w:val="1CD62D1C"/>
    <w:rsid w:val="1CD6610C"/>
    <w:rsid w:val="1CDB6B83"/>
    <w:rsid w:val="1D48660A"/>
    <w:rsid w:val="1D746A69"/>
    <w:rsid w:val="1D842FB4"/>
    <w:rsid w:val="1D965CF8"/>
    <w:rsid w:val="1DDB36A5"/>
    <w:rsid w:val="1E4C175D"/>
    <w:rsid w:val="1E826050"/>
    <w:rsid w:val="1E9105F3"/>
    <w:rsid w:val="1EC235A4"/>
    <w:rsid w:val="1F416F11"/>
    <w:rsid w:val="1FB2308A"/>
    <w:rsid w:val="1FBC094F"/>
    <w:rsid w:val="1FE90A70"/>
    <w:rsid w:val="1FEA2118"/>
    <w:rsid w:val="200E09A3"/>
    <w:rsid w:val="201B70ED"/>
    <w:rsid w:val="20292B81"/>
    <w:rsid w:val="203537D9"/>
    <w:rsid w:val="203D0EAB"/>
    <w:rsid w:val="20801E62"/>
    <w:rsid w:val="20870F2C"/>
    <w:rsid w:val="20973656"/>
    <w:rsid w:val="209C7284"/>
    <w:rsid w:val="20BE1290"/>
    <w:rsid w:val="21072D49"/>
    <w:rsid w:val="213B6F87"/>
    <w:rsid w:val="2190727D"/>
    <w:rsid w:val="21D86153"/>
    <w:rsid w:val="221525B4"/>
    <w:rsid w:val="221B67F2"/>
    <w:rsid w:val="221E1FA8"/>
    <w:rsid w:val="22510D56"/>
    <w:rsid w:val="225D7C40"/>
    <w:rsid w:val="227574C4"/>
    <w:rsid w:val="230A61B6"/>
    <w:rsid w:val="234952DF"/>
    <w:rsid w:val="23B61168"/>
    <w:rsid w:val="23D5432C"/>
    <w:rsid w:val="23DF3594"/>
    <w:rsid w:val="23FD7494"/>
    <w:rsid w:val="240E6311"/>
    <w:rsid w:val="24241A83"/>
    <w:rsid w:val="242B6DC7"/>
    <w:rsid w:val="2438480C"/>
    <w:rsid w:val="2445472C"/>
    <w:rsid w:val="24534A8E"/>
    <w:rsid w:val="24A013AD"/>
    <w:rsid w:val="24AF242C"/>
    <w:rsid w:val="24CB49F8"/>
    <w:rsid w:val="24FB6501"/>
    <w:rsid w:val="25115F20"/>
    <w:rsid w:val="255C54F7"/>
    <w:rsid w:val="25BF330C"/>
    <w:rsid w:val="25E56288"/>
    <w:rsid w:val="261D397E"/>
    <w:rsid w:val="266D7691"/>
    <w:rsid w:val="268209D1"/>
    <w:rsid w:val="26965837"/>
    <w:rsid w:val="26CE2FDE"/>
    <w:rsid w:val="26D454BB"/>
    <w:rsid w:val="27040920"/>
    <w:rsid w:val="270F48E9"/>
    <w:rsid w:val="27196A18"/>
    <w:rsid w:val="272929A0"/>
    <w:rsid w:val="27341AB2"/>
    <w:rsid w:val="27366655"/>
    <w:rsid w:val="27670D98"/>
    <w:rsid w:val="27934E66"/>
    <w:rsid w:val="27B36AC8"/>
    <w:rsid w:val="27E00BFC"/>
    <w:rsid w:val="281578BB"/>
    <w:rsid w:val="28521201"/>
    <w:rsid w:val="2890329C"/>
    <w:rsid w:val="296A5FA3"/>
    <w:rsid w:val="29967A1D"/>
    <w:rsid w:val="29A5248A"/>
    <w:rsid w:val="29BD25A5"/>
    <w:rsid w:val="29E66DBA"/>
    <w:rsid w:val="2A3C286D"/>
    <w:rsid w:val="2A6735E2"/>
    <w:rsid w:val="2A830A4B"/>
    <w:rsid w:val="2AB904D2"/>
    <w:rsid w:val="2B2A70E1"/>
    <w:rsid w:val="2B47559E"/>
    <w:rsid w:val="2BA82595"/>
    <w:rsid w:val="2BF16154"/>
    <w:rsid w:val="2BF26151"/>
    <w:rsid w:val="2C441CB3"/>
    <w:rsid w:val="2C496F21"/>
    <w:rsid w:val="2C4E4260"/>
    <w:rsid w:val="2C522BB4"/>
    <w:rsid w:val="2C676228"/>
    <w:rsid w:val="2C861B71"/>
    <w:rsid w:val="2C9E76A6"/>
    <w:rsid w:val="2CC536E8"/>
    <w:rsid w:val="2CEA7456"/>
    <w:rsid w:val="2D1966AD"/>
    <w:rsid w:val="2D300033"/>
    <w:rsid w:val="2D3E65C1"/>
    <w:rsid w:val="2DA46A2A"/>
    <w:rsid w:val="2DB66DC8"/>
    <w:rsid w:val="2DC7163F"/>
    <w:rsid w:val="2E855C33"/>
    <w:rsid w:val="2ED94DC5"/>
    <w:rsid w:val="2F3B02D6"/>
    <w:rsid w:val="2F447050"/>
    <w:rsid w:val="2F4608DE"/>
    <w:rsid w:val="2F5908BB"/>
    <w:rsid w:val="2FE20881"/>
    <w:rsid w:val="30022E07"/>
    <w:rsid w:val="305C73EB"/>
    <w:rsid w:val="30754FE0"/>
    <w:rsid w:val="30834E26"/>
    <w:rsid w:val="30CB7A9A"/>
    <w:rsid w:val="311947C7"/>
    <w:rsid w:val="313B3938"/>
    <w:rsid w:val="31780A25"/>
    <w:rsid w:val="31B3245B"/>
    <w:rsid w:val="31EA3E28"/>
    <w:rsid w:val="31F14A27"/>
    <w:rsid w:val="31F73E44"/>
    <w:rsid w:val="320A2FBB"/>
    <w:rsid w:val="322702B0"/>
    <w:rsid w:val="32586E94"/>
    <w:rsid w:val="326064C2"/>
    <w:rsid w:val="326446F7"/>
    <w:rsid w:val="32C72FDB"/>
    <w:rsid w:val="32F74759"/>
    <w:rsid w:val="330178DF"/>
    <w:rsid w:val="33041BDB"/>
    <w:rsid w:val="33150E8D"/>
    <w:rsid w:val="331D62D8"/>
    <w:rsid w:val="33466FD1"/>
    <w:rsid w:val="335057F2"/>
    <w:rsid w:val="33A03A3D"/>
    <w:rsid w:val="33E528C4"/>
    <w:rsid w:val="33E81B1A"/>
    <w:rsid w:val="33FE767E"/>
    <w:rsid w:val="340A3D6B"/>
    <w:rsid w:val="34312AE3"/>
    <w:rsid w:val="34CF115F"/>
    <w:rsid w:val="34D5468F"/>
    <w:rsid w:val="34FE716C"/>
    <w:rsid w:val="350D2250"/>
    <w:rsid w:val="35321FFC"/>
    <w:rsid w:val="3569521C"/>
    <w:rsid w:val="35B310FE"/>
    <w:rsid w:val="35D075DA"/>
    <w:rsid w:val="36410697"/>
    <w:rsid w:val="36780581"/>
    <w:rsid w:val="3683559F"/>
    <w:rsid w:val="36D47C15"/>
    <w:rsid w:val="37157947"/>
    <w:rsid w:val="37274BA1"/>
    <w:rsid w:val="372D1AA0"/>
    <w:rsid w:val="37513FB1"/>
    <w:rsid w:val="37815943"/>
    <w:rsid w:val="37C5320D"/>
    <w:rsid w:val="37FD5278"/>
    <w:rsid w:val="384F5345"/>
    <w:rsid w:val="38547B3D"/>
    <w:rsid w:val="385C6972"/>
    <w:rsid w:val="385E6F91"/>
    <w:rsid w:val="38B45978"/>
    <w:rsid w:val="38D96404"/>
    <w:rsid w:val="38E52FC3"/>
    <w:rsid w:val="39187C1C"/>
    <w:rsid w:val="3975602A"/>
    <w:rsid w:val="399F35C7"/>
    <w:rsid w:val="39A25478"/>
    <w:rsid w:val="39D73CD5"/>
    <w:rsid w:val="3A14221F"/>
    <w:rsid w:val="3A32714E"/>
    <w:rsid w:val="3A5A5133"/>
    <w:rsid w:val="3ACA5CB3"/>
    <w:rsid w:val="3BB13AC4"/>
    <w:rsid w:val="3BDC0F69"/>
    <w:rsid w:val="3C030B5F"/>
    <w:rsid w:val="3C0F70FD"/>
    <w:rsid w:val="3C304F38"/>
    <w:rsid w:val="3C5C43D5"/>
    <w:rsid w:val="3CB03FF1"/>
    <w:rsid w:val="3CB306C1"/>
    <w:rsid w:val="3CBA0457"/>
    <w:rsid w:val="3CBA19ED"/>
    <w:rsid w:val="3CBD21BD"/>
    <w:rsid w:val="3CD41AEF"/>
    <w:rsid w:val="3D05378C"/>
    <w:rsid w:val="3D13284B"/>
    <w:rsid w:val="3D1E63F9"/>
    <w:rsid w:val="3D380A47"/>
    <w:rsid w:val="3D3E6C4C"/>
    <w:rsid w:val="3D3F7D89"/>
    <w:rsid w:val="3D650801"/>
    <w:rsid w:val="3D841332"/>
    <w:rsid w:val="3DD237C4"/>
    <w:rsid w:val="3DE12E60"/>
    <w:rsid w:val="3E2E6934"/>
    <w:rsid w:val="3E3E4CBC"/>
    <w:rsid w:val="3E421E1A"/>
    <w:rsid w:val="3E857125"/>
    <w:rsid w:val="3E8932CA"/>
    <w:rsid w:val="3EC52F96"/>
    <w:rsid w:val="3EF6174D"/>
    <w:rsid w:val="3F074690"/>
    <w:rsid w:val="3F2D05D7"/>
    <w:rsid w:val="3F3B657F"/>
    <w:rsid w:val="3F6C2946"/>
    <w:rsid w:val="3FB84854"/>
    <w:rsid w:val="3FCE0ADC"/>
    <w:rsid w:val="3FE653E0"/>
    <w:rsid w:val="40484731"/>
    <w:rsid w:val="409121EC"/>
    <w:rsid w:val="409B144D"/>
    <w:rsid w:val="40C5541C"/>
    <w:rsid w:val="412820F0"/>
    <w:rsid w:val="416F63FB"/>
    <w:rsid w:val="41A14DE0"/>
    <w:rsid w:val="41AF313C"/>
    <w:rsid w:val="41C04261"/>
    <w:rsid w:val="41E952FF"/>
    <w:rsid w:val="41FE215F"/>
    <w:rsid w:val="42310E54"/>
    <w:rsid w:val="42443E2D"/>
    <w:rsid w:val="42615021"/>
    <w:rsid w:val="428E5684"/>
    <w:rsid w:val="4318610D"/>
    <w:rsid w:val="432D497D"/>
    <w:rsid w:val="4331226F"/>
    <w:rsid w:val="433350F4"/>
    <w:rsid w:val="43411035"/>
    <w:rsid w:val="435E4672"/>
    <w:rsid w:val="436875ED"/>
    <w:rsid w:val="4387002E"/>
    <w:rsid w:val="43954A4F"/>
    <w:rsid w:val="43E76D75"/>
    <w:rsid w:val="440E50E3"/>
    <w:rsid w:val="444B0DA7"/>
    <w:rsid w:val="448F3330"/>
    <w:rsid w:val="44C50EEC"/>
    <w:rsid w:val="451C0604"/>
    <w:rsid w:val="4581112E"/>
    <w:rsid w:val="45C378E2"/>
    <w:rsid w:val="460B4B81"/>
    <w:rsid w:val="462C0726"/>
    <w:rsid w:val="4630216C"/>
    <w:rsid w:val="46395B4F"/>
    <w:rsid w:val="464C7CB3"/>
    <w:rsid w:val="467D120F"/>
    <w:rsid w:val="46BA7666"/>
    <w:rsid w:val="46CD28BE"/>
    <w:rsid w:val="470E17FF"/>
    <w:rsid w:val="47124C6E"/>
    <w:rsid w:val="47161D36"/>
    <w:rsid w:val="472D6CFB"/>
    <w:rsid w:val="474715A0"/>
    <w:rsid w:val="47880816"/>
    <w:rsid w:val="478868F1"/>
    <w:rsid w:val="478D2009"/>
    <w:rsid w:val="479A7313"/>
    <w:rsid w:val="47FB0528"/>
    <w:rsid w:val="47FB7D4B"/>
    <w:rsid w:val="4817230C"/>
    <w:rsid w:val="482376A1"/>
    <w:rsid w:val="48652B5B"/>
    <w:rsid w:val="4898447F"/>
    <w:rsid w:val="48BC27DE"/>
    <w:rsid w:val="48CE799C"/>
    <w:rsid w:val="48F717A7"/>
    <w:rsid w:val="49034E46"/>
    <w:rsid w:val="49312E67"/>
    <w:rsid w:val="494A3BC9"/>
    <w:rsid w:val="499213C4"/>
    <w:rsid w:val="49B915C7"/>
    <w:rsid w:val="49C915C1"/>
    <w:rsid w:val="4A292946"/>
    <w:rsid w:val="4A5E09B1"/>
    <w:rsid w:val="4AC919AC"/>
    <w:rsid w:val="4B9C5BF4"/>
    <w:rsid w:val="4BAE3E9F"/>
    <w:rsid w:val="4BDC553F"/>
    <w:rsid w:val="4C8B6D53"/>
    <w:rsid w:val="4CB72C0E"/>
    <w:rsid w:val="4CCE6A92"/>
    <w:rsid w:val="4CD65C74"/>
    <w:rsid w:val="4D270FE3"/>
    <w:rsid w:val="4D7F22D1"/>
    <w:rsid w:val="4DFC2655"/>
    <w:rsid w:val="4DFC6A89"/>
    <w:rsid w:val="4E0C4D7C"/>
    <w:rsid w:val="4E265F4D"/>
    <w:rsid w:val="4E3F41C1"/>
    <w:rsid w:val="4E4B3A01"/>
    <w:rsid w:val="4E956657"/>
    <w:rsid w:val="4F15351C"/>
    <w:rsid w:val="4FAE58AE"/>
    <w:rsid w:val="4FF21D93"/>
    <w:rsid w:val="500A1E16"/>
    <w:rsid w:val="501047BA"/>
    <w:rsid w:val="50142C23"/>
    <w:rsid w:val="502A6797"/>
    <w:rsid w:val="503264DF"/>
    <w:rsid w:val="50804667"/>
    <w:rsid w:val="509918BB"/>
    <w:rsid w:val="50D642CD"/>
    <w:rsid w:val="50DA0C2F"/>
    <w:rsid w:val="512F5729"/>
    <w:rsid w:val="518B4942"/>
    <w:rsid w:val="51953546"/>
    <w:rsid w:val="51DA5080"/>
    <w:rsid w:val="51EC6401"/>
    <w:rsid w:val="52023A75"/>
    <w:rsid w:val="52215F84"/>
    <w:rsid w:val="52345729"/>
    <w:rsid w:val="525E12E0"/>
    <w:rsid w:val="52965F4C"/>
    <w:rsid w:val="52CC6658"/>
    <w:rsid w:val="52DE2C76"/>
    <w:rsid w:val="53020B5F"/>
    <w:rsid w:val="530A729F"/>
    <w:rsid w:val="5311400F"/>
    <w:rsid w:val="53492C72"/>
    <w:rsid w:val="539822E2"/>
    <w:rsid w:val="53B907E9"/>
    <w:rsid w:val="53D911FF"/>
    <w:rsid w:val="54133125"/>
    <w:rsid w:val="54137A32"/>
    <w:rsid w:val="5422066E"/>
    <w:rsid w:val="54450CC0"/>
    <w:rsid w:val="545674AE"/>
    <w:rsid w:val="549A73FB"/>
    <w:rsid w:val="54CA79B6"/>
    <w:rsid w:val="54EA5BDF"/>
    <w:rsid w:val="550E2C37"/>
    <w:rsid w:val="552B6E96"/>
    <w:rsid w:val="553F5254"/>
    <w:rsid w:val="56462084"/>
    <w:rsid w:val="5687752C"/>
    <w:rsid w:val="56D06E4B"/>
    <w:rsid w:val="56EB6E93"/>
    <w:rsid w:val="57580A15"/>
    <w:rsid w:val="57693F57"/>
    <w:rsid w:val="579C3EE5"/>
    <w:rsid w:val="57A37AC1"/>
    <w:rsid w:val="57B967F3"/>
    <w:rsid w:val="57E7606B"/>
    <w:rsid w:val="57F56557"/>
    <w:rsid w:val="58560682"/>
    <w:rsid w:val="585F3F0E"/>
    <w:rsid w:val="587325B0"/>
    <w:rsid w:val="588A4538"/>
    <w:rsid w:val="58945007"/>
    <w:rsid w:val="58C80CA0"/>
    <w:rsid w:val="58CA511D"/>
    <w:rsid w:val="58F707EF"/>
    <w:rsid w:val="592479B7"/>
    <w:rsid w:val="597A6272"/>
    <w:rsid w:val="5997602A"/>
    <w:rsid w:val="59A02016"/>
    <w:rsid w:val="59A55F73"/>
    <w:rsid w:val="59D150D0"/>
    <w:rsid w:val="5A2D2819"/>
    <w:rsid w:val="5A4512FA"/>
    <w:rsid w:val="5A5F446F"/>
    <w:rsid w:val="5A6C31A6"/>
    <w:rsid w:val="5A8525BC"/>
    <w:rsid w:val="5B180907"/>
    <w:rsid w:val="5B2950C8"/>
    <w:rsid w:val="5B3110A7"/>
    <w:rsid w:val="5B3214E9"/>
    <w:rsid w:val="5B610160"/>
    <w:rsid w:val="5B685682"/>
    <w:rsid w:val="5B9F5110"/>
    <w:rsid w:val="5BA570A4"/>
    <w:rsid w:val="5BDA3ECB"/>
    <w:rsid w:val="5CB72E51"/>
    <w:rsid w:val="5CF35FAD"/>
    <w:rsid w:val="5D094BCE"/>
    <w:rsid w:val="5D0D5D33"/>
    <w:rsid w:val="5D48659B"/>
    <w:rsid w:val="5D490A15"/>
    <w:rsid w:val="5D5B393F"/>
    <w:rsid w:val="5D8B19F2"/>
    <w:rsid w:val="5E60312C"/>
    <w:rsid w:val="5E665390"/>
    <w:rsid w:val="5E725842"/>
    <w:rsid w:val="5EB1681D"/>
    <w:rsid w:val="5F035D54"/>
    <w:rsid w:val="5F18616D"/>
    <w:rsid w:val="5F1B7EF3"/>
    <w:rsid w:val="5F1C3D7D"/>
    <w:rsid w:val="5F322DE4"/>
    <w:rsid w:val="5F4B3AE6"/>
    <w:rsid w:val="5F6B5D4E"/>
    <w:rsid w:val="5F7E5F8F"/>
    <w:rsid w:val="5FA30045"/>
    <w:rsid w:val="5FB35ACA"/>
    <w:rsid w:val="5FC31E3D"/>
    <w:rsid w:val="5FFA36CE"/>
    <w:rsid w:val="5FFE0C08"/>
    <w:rsid w:val="5FFF9890"/>
    <w:rsid w:val="60232576"/>
    <w:rsid w:val="60676409"/>
    <w:rsid w:val="60735BC8"/>
    <w:rsid w:val="60855630"/>
    <w:rsid w:val="60997C8F"/>
    <w:rsid w:val="60B362D7"/>
    <w:rsid w:val="60D0402D"/>
    <w:rsid w:val="60F307EF"/>
    <w:rsid w:val="61054A26"/>
    <w:rsid w:val="61064082"/>
    <w:rsid w:val="610732D2"/>
    <w:rsid w:val="612D7CF4"/>
    <w:rsid w:val="618C277D"/>
    <w:rsid w:val="619E4EBB"/>
    <w:rsid w:val="61B41E79"/>
    <w:rsid w:val="61C264F8"/>
    <w:rsid w:val="61F15301"/>
    <w:rsid w:val="620F535B"/>
    <w:rsid w:val="622454C4"/>
    <w:rsid w:val="622779B5"/>
    <w:rsid w:val="62733D8F"/>
    <w:rsid w:val="62984AB9"/>
    <w:rsid w:val="62A0333C"/>
    <w:rsid w:val="62BA2B9D"/>
    <w:rsid w:val="62C479ED"/>
    <w:rsid w:val="62F10AE8"/>
    <w:rsid w:val="632605AE"/>
    <w:rsid w:val="633D02EA"/>
    <w:rsid w:val="635F3B1B"/>
    <w:rsid w:val="636D6898"/>
    <w:rsid w:val="63956442"/>
    <w:rsid w:val="63BC5E7A"/>
    <w:rsid w:val="64183E80"/>
    <w:rsid w:val="643B6378"/>
    <w:rsid w:val="64E14C1B"/>
    <w:rsid w:val="650A3824"/>
    <w:rsid w:val="65584219"/>
    <w:rsid w:val="65D7335E"/>
    <w:rsid w:val="65DA769E"/>
    <w:rsid w:val="65F747F6"/>
    <w:rsid w:val="661510A2"/>
    <w:rsid w:val="66565F58"/>
    <w:rsid w:val="666B5DF1"/>
    <w:rsid w:val="6692067E"/>
    <w:rsid w:val="66C34D30"/>
    <w:rsid w:val="672E002A"/>
    <w:rsid w:val="67521C4A"/>
    <w:rsid w:val="68052564"/>
    <w:rsid w:val="681E4104"/>
    <w:rsid w:val="681E5ED9"/>
    <w:rsid w:val="683D513D"/>
    <w:rsid w:val="68732040"/>
    <w:rsid w:val="688D700B"/>
    <w:rsid w:val="68A63417"/>
    <w:rsid w:val="68C72712"/>
    <w:rsid w:val="68DF5422"/>
    <w:rsid w:val="69047E1C"/>
    <w:rsid w:val="69164E65"/>
    <w:rsid w:val="69342E70"/>
    <w:rsid w:val="697F4A36"/>
    <w:rsid w:val="6ADD20F0"/>
    <w:rsid w:val="6B0E343A"/>
    <w:rsid w:val="6B456629"/>
    <w:rsid w:val="6B8519A9"/>
    <w:rsid w:val="6BBA0EDB"/>
    <w:rsid w:val="6C003A1F"/>
    <w:rsid w:val="6C407E5B"/>
    <w:rsid w:val="6CFC1A37"/>
    <w:rsid w:val="6D4D54CB"/>
    <w:rsid w:val="6D675EDF"/>
    <w:rsid w:val="6D925369"/>
    <w:rsid w:val="6DB05FEB"/>
    <w:rsid w:val="6DB536C8"/>
    <w:rsid w:val="6DD05F86"/>
    <w:rsid w:val="6DF323E0"/>
    <w:rsid w:val="6E417689"/>
    <w:rsid w:val="6E88034B"/>
    <w:rsid w:val="6E8C3C5E"/>
    <w:rsid w:val="6EFE3C6C"/>
    <w:rsid w:val="6FA6592F"/>
    <w:rsid w:val="6FA86670"/>
    <w:rsid w:val="6FBC0C0B"/>
    <w:rsid w:val="70265C5C"/>
    <w:rsid w:val="704831E6"/>
    <w:rsid w:val="70A27ED7"/>
    <w:rsid w:val="70C5552E"/>
    <w:rsid w:val="70CA4C57"/>
    <w:rsid w:val="70E67060"/>
    <w:rsid w:val="7100298B"/>
    <w:rsid w:val="711C60DF"/>
    <w:rsid w:val="71836742"/>
    <w:rsid w:val="71912DC7"/>
    <w:rsid w:val="71A73FA6"/>
    <w:rsid w:val="71A92356"/>
    <w:rsid w:val="71C46BA5"/>
    <w:rsid w:val="720B136B"/>
    <w:rsid w:val="7237731A"/>
    <w:rsid w:val="727328FC"/>
    <w:rsid w:val="727F54F1"/>
    <w:rsid w:val="72FB1946"/>
    <w:rsid w:val="73461631"/>
    <w:rsid w:val="734E7EF4"/>
    <w:rsid w:val="736D7EA9"/>
    <w:rsid w:val="73745F52"/>
    <w:rsid w:val="737B0720"/>
    <w:rsid w:val="737C42B8"/>
    <w:rsid w:val="73840940"/>
    <w:rsid w:val="73AF100B"/>
    <w:rsid w:val="74021E8F"/>
    <w:rsid w:val="742C5350"/>
    <w:rsid w:val="744F4B6A"/>
    <w:rsid w:val="74586738"/>
    <w:rsid w:val="748E5637"/>
    <w:rsid w:val="7502299B"/>
    <w:rsid w:val="750A6540"/>
    <w:rsid w:val="7543542A"/>
    <w:rsid w:val="755A46D3"/>
    <w:rsid w:val="75755548"/>
    <w:rsid w:val="75970D59"/>
    <w:rsid w:val="759E649F"/>
    <w:rsid w:val="76100238"/>
    <w:rsid w:val="765164FC"/>
    <w:rsid w:val="766D1877"/>
    <w:rsid w:val="76743A36"/>
    <w:rsid w:val="76917EC4"/>
    <w:rsid w:val="76A60C9A"/>
    <w:rsid w:val="76AB0A3E"/>
    <w:rsid w:val="76AE3D42"/>
    <w:rsid w:val="76F02DD7"/>
    <w:rsid w:val="76FB02E4"/>
    <w:rsid w:val="770B0629"/>
    <w:rsid w:val="770B18EF"/>
    <w:rsid w:val="77424481"/>
    <w:rsid w:val="774C4832"/>
    <w:rsid w:val="77BE00F6"/>
    <w:rsid w:val="7805379B"/>
    <w:rsid w:val="787327A8"/>
    <w:rsid w:val="787E5677"/>
    <w:rsid w:val="78DF7FD6"/>
    <w:rsid w:val="78FE671A"/>
    <w:rsid w:val="79072043"/>
    <w:rsid w:val="797B3338"/>
    <w:rsid w:val="79AA79B2"/>
    <w:rsid w:val="79C9286B"/>
    <w:rsid w:val="7A092C03"/>
    <w:rsid w:val="7A17300D"/>
    <w:rsid w:val="7A3E30C3"/>
    <w:rsid w:val="7A5231FB"/>
    <w:rsid w:val="7A612E02"/>
    <w:rsid w:val="7A7B6B26"/>
    <w:rsid w:val="7AD14569"/>
    <w:rsid w:val="7ADD1227"/>
    <w:rsid w:val="7AE112DF"/>
    <w:rsid w:val="7B816301"/>
    <w:rsid w:val="7B82021B"/>
    <w:rsid w:val="7BC325E6"/>
    <w:rsid w:val="7BDF52EF"/>
    <w:rsid w:val="7C416E98"/>
    <w:rsid w:val="7C495ABF"/>
    <w:rsid w:val="7C790E04"/>
    <w:rsid w:val="7CD741C4"/>
    <w:rsid w:val="7D0F5A18"/>
    <w:rsid w:val="7D6444ED"/>
    <w:rsid w:val="7DBB40D2"/>
    <w:rsid w:val="7DE70F9B"/>
    <w:rsid w:val="7E442849"/>
    <w:rsid w:val="7E7E1FBD"/>
    <w:rsid w:val="7EF4286D"/>
    <w:rsid w:val="7F4347C1"/>
    <w:rsid w:val="DDFF078A"/>
    <w:rsid w:val="EED64E7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w:cs="Arial"/>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annotation subject"/>
    <w:basedOn w:val="2"/>
    <w:next w:val="2"/>
    <w:link w:val="15"/>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annotation reference"/>
    <w:qFormat/>
    <w:uiPriority w:val="0"/>
    <w:rPr>
      <w:sz w:val="21"/>
      <w:szCs w:val="21"/>
    </w:rPr>
  </w:style>
  <w:style w:type="character" w:customStyle="1" w:styleId="13">
    <w:name w:val="批注文字 Char"/>
    <w:link w:val="2"/>
    <w:qFormat/>
    <w:uiPriority w:val="0"/>
    <w:rPr>
      <w:rFonts w:ascii="Calibri" w:hAnsi="Calibri"/>
      <w:kern w:val="2"/>
      <w:sz w:val="21"/>
      <w:szCs w:val="24"/>
    </w:rPr>
  </w:style>
  <w:style w:type="character" w:customStyle="1" w:styleId="14">
    <w:name w:val="批注框文本 Char"/>
    <w:link w:val="3"/>
    <w:qFormat/>
    <w:uiPriority w:val="0"/>
    <w:rPr>
      <w:rFonts w:ascii="Calibri" w:hAnsi="Calibri"/>
      <w:kern w:val="2"/>
      <w:sz w:val="18"/>
      <w:szCs w:val="18"/>
    </w:rPr>
  </w:style>
  <w:style w:type="character" w:customStyle="1" w:styleId="15">
    <w:name w:val="批注主题 Char"/>
    <w:link w:val="7"/>
    <w:qFormat/>
    <w:uiPriority w:val="0"/>
    <w:rPr>
      <w:rFonts w:ascii="Calibri" w:hAnsi="Calibri"/>
      <w:b/>
      <w:bCs/>
      <w:kern w:val="2"/>
      <w:sz w:val="21"/>
      <w:szCs w:val="24"/>
    </w:rPr>
  </w:style>
  <w:style w:type="character" w:customStyle="1" w:styleId="16">
    <w:name w:val="fontstyle01"/>
    <w:qFormat/>
    <w:uiPriority w:val="0"/>
    <w:rPr>
      <w:rFonts w:hint="default" w:ascii="KaiTi_GB2312" w:hAnsi="KaiTi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2122</Words>
  <Characters>2123</Characters>
  <Lines>35</Lines>
  <Paragraphs>10</Paragraphs>
  <TotalTime>2</TotalTime>
  <ScaleCrop>false</ScaleCrop>
  <LinksUpToDate>false</LinksUpToDate>
  <CharactersWithSpaces>2167</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2019-12-11T18:32:00Z</dcterms:created>
  <dc:creator>Administrator</dc:creator>
  <cp:lastModifiedBy>user</cp:lastModifiedBy>
  <cp:lastPrinted>2021-11-26T01:48:00Z</cp:lastPrinted>
  <dcterms:modified xsi:type="dcterms:W3CDTF">2025-10-30T17:13:26Z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E76A8270669B8ADB362C0369437DCD53_43</vt:lpwstr>
  </property>
  <property fmtid="{D5CDD505-2E9C-101B-9397-08002B2CF9AE}" pid="4" name="KSOTemplateDocerSaveRecord">
    <vt:lpwstr>eyJoZGlkIjoiYjFjNDAzMjcyZWNlZTBlNzkyZWU2Y2Q4MmM1MjQxNGUiLCJ1c2VySWQiOiIyNTMzMDk0NDQifQ==</vt:lpwstr>
  </property>
</Properties>
</file>